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E1694" w:rsidRPr="00FC413A" w:rsidTr="00B17079">
        <w:trPr>
          <w:trHeight w:hRule="exact" w:val="227"/>
        </w:trPr>
        <w:tc>
          <w:tcPr>
            <w:tcW w:w="4962" w:type="dxa"/>
            <w:tcBorders>
              <w:bottom w:val="single" w:sz="4" w:space="0" w:color="auto"/>
            </w:tcBorders>
            <w:shd w:val="clear" w:color="auto" w:fill="000000" w:themeFill="text1"/>
          </w:tcPr>
          <w:p w:rsidR="007E1694" w:rsidRPr="00FC413A" w:rsidRDefault="007E1694" w:rsidP="00B1707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E1694" w:rsidRPr="00FC413A" w:rsidRDefault="007E1694" w:rsidP="00B17079"/>
        </w:tc>
      </w:tr>
      <w:tr w:rsidR="007E1694" w:rsidTr="00B17079">
        <w:trPr>
          <w:trHeight w:val="636"/>
        </w:trPr>
        <w:tc>
          <w:tcPr>
            <w:tcW w:w="4962" w:type="dxa"/>
            <w:vMerge w:val="restart"/>
            <w:tcBorders>
              <w:top w:val="single" w:sz="4" w:space="0" w:color="auto"/>
              <w:bottom w:val="nil"/>
              <w:right w:val="nil"/>
            </w:tcBorders>
            <w:shd w:val="clear" w:color="auto" w:fill="F0AB00"/>
            <w:tcMar>
              <w:top w:w="113" w:type="dxa"/>
            </w:tcMar>
          </w:tcPr>
          <w:p w:rsidR="007E1694" w:rsidRPr="00E540A2" w:rsidRDefault="007E1694" w:rsidP="007E1694">
            <w:pPr>
              <w:pStyle w:val="SAPCollateralType"/>
            </w:pPr>
            <w:r>
              <w:t>Testskript</w:t>
            </w:r>
          </w:p>
          <w:p w:rsidR="007E1694" w:rsidRPr="00E540A2" w:rsidRDefault="007E1694" w:rsidP="007E1694">
            <w:pPr>
              <w:pStyle w:val="SAPDocumentVersion"/>
            </w:pPr>
            <w:r>
              <w:t>SAP S/4HANA - 29-09-20</w:t>
            </w:r>
          </w:p>
        </w:tc>
        <w:tc>
          <w:tcPr>
            <w:tcW w:w="9383" w:type="dxa"/>
            <w:tcBorders>
              <w:top w:val="single" w:sz="4" w:space="0" w:color="auto"/>
              <w:left w:val="nil"/>
              <w:bottom w:val="nil"/>
            </w:tcBorders>
            <w:shd w:val="clear" w:color="auto" w:fill="F0AB00"/>
            <w:tcMar>
              <w:top w:w="113" w:type="dxa"/>
            </w:tcMar>
          </w:tcPr>
          <w:p w:rsidR="007E1694" w:rsidRPr="00CF3F1C" w:rsidRDefault="007E1694" w:rsidP="00B17079">
            <w:pPr>
              <w:pStyle w:val="SAPSecurityLevel"/>
            </w:pPr>
            <w:bookmarkStart w:id="1" w:name="securitylevel"/>
            <w:r w:rsidRPr="00CF3F1C">
              <w:t>public</w:t>
            </w:r>
            <w:bookmarkEnd w:id="1"/>
          </w:p>
        </w:tc>
      </w:tr>
      <w:tr w:rsidR="007E1694" w:rsidTr="00B17079">
        <w:trPr>
          <w:trHeight w:hRule="exact" w:val="2402"/>
        </w:trPr>
        <w:tc>
          <w:tcPr>
            <w:tcW w:w="4962" w:type="dxa"/>
            <w:vMerge/>
            <w:tcBorders>
              <w:top w:val="nil"/>
              <w:bottom w:val="nil"/>
              <w:right w:val="nil"/>
            </w:tcBorders>
            <w:shd w:val="clear" w:color="auto" w:fill="F0AB00"/>
            <w:tcMar>
              <w:top w:w="113" w:type="dxa"/>
            </w:tcMar>
          </w:tcPr>
          <w:p w:rsidR="007E1694" w:rsidRDefault="007E1694" w:rsidP="00B17079">
            <w:pPr>
              <w:pStyle w:val="SAPCollateralType"/>
            </w:pPr>
          </w:p>
        </w:tc>
        <w:tc>
          <w:tcPr>
            <w:tcW w:w="9383" w:type="dxa"/>
            <w:tcBorders>
              <w:top w:val="nil"/>
              <w:left w:val="nil"/>
              <w:bottom w:val="nil"/>
            </w:tcBorders>
            <w:shd w:val="clear" w:color="auto" w:fill="F0AB00"/>
            <w:tcMar>
              <w:top w:w="113" w:type="dxa"/>
            </w:tcMar>
          </w:tcPr>
          <w:p w:rsidR="007E1694" w:rsidRDefault="007E1694" w:rsidP="00B17079">
            <w:pPr>
              <w:pStyle w:val="SAPMainTitle"/>
            </w:pPr>
            <w:bookmarkStart w:id="2" w:name="maintitle"/>
            <w:r>
              <w:t>Ermittlung von Datenschutzrisiken mit SAP Privacy Governance (3KX)</w:t>
            </w:r>
            <w:bookmarkEnd w:id="2"/>
          </w:p>
          <w:p w:rsidR="007E1694" w:rsidRDefault="007E1694" w:rsidP="00B17079">
            <w:pPr>
              <w:pStyle w:val="SAPMainTitle"/>
            </w:pPr>
          </w:p>
        </w:tc>
      </w:tr>
    </w:tbl>
    <w:p w:rsidR="007E1694" w:rsidRDefault="007E1694" w:rsidP="00CC5D05">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E1694" w:rsidRDefault="007E1694">
      <w:pPr>
        <w:pStyle w:val="TOC1"/>
        <w:rPr>
          <w:rFonts w:asciiTheme="minorHAnsi" w:eastAsiaTheme="minorEastAsia" w:hAnsiTheme="minorHAnsi" w:cstheme="minorBidi"/>
          <w:noProof/>
          <w:sz w:val="22"/>
          <w:szCs w:val="22"/>
          <w:lang w:val="de-DE" w:eastAsia="de-DE"/>
        </w:rPr>
      </w:pPr>
      <w:hyperlink w:anchor="_Toc52287629" w:history="1">
        <w:r w:rsidRPr="00E4345C">
          <w:rPr>
            <w:rStyle w:val="Hyperlink"/>
            <w:noProof/>
          </w:rPr>
          <w:t>1</w:t>
        </w:r>
        <w:r>
          <w:rPr>
            <w:rFonts w:asciiTheme="minorHAnsi" w:eastAsiaTheme="minorEastAsia" w:hAnsiTheme="minorHAnsi" w:cstheme="minorBidi"/>
            <w:noProof/>
            <w:sz w:val="22"/>
            <w:szCs w:val="22"/>
            <w:lang w:val="de-DE" w:eastAsia="de-DE"/>
          </w:rPr>
          <w:tab/>
        </w:r>
        <w:r w:rsidRPr="00E4345C">
          <w:rPr>
            <w:rStyle w:val="Hyperlink"/>
            <w:noProof/>
          </w:rPr>
          <w:t>Zweck</w:t>
        </w:r>
        <w:r>
          <w:rPr>
            <w:noProof/>
            <w:webHidden/>
          </w:rPr>
          <w:tab/>
        </w:r>
        <w:r>
          <w:rPr>
            <w:noProof/>
            <w:webHidden/>
          </w:rPr>
          <w:fldChar w:fldCharType="begin"/>
        </w:r>
        <w:r>
          <w:rPr>
            <w:noProof/>
            <w:webHidden/>
          </w:rPr>
          <w:instrText xml:space="preserve"> PAGEREF _Toc52287629 \h </w:instrText>
        </w:r>
        <w:r>
          <w:rPr>
            <w:noProof/>
            <w:webHidden/>
          </w:rPr>
        </w:r>
        <w:r>
          <w:rPr>
            <w:noProof/>
            <w:webHidden/>
          </w:rPr>
          <w:fldChar w:fldCharType="separate"/>
        </w:r>
        <w:r>
          <w:rPr>
            <w:noProof/>
            <w:webHidden/>
          </w:rPr>
          <w:t>2</w:t>
        </w:r>
        <w:r>
          <w:rPr>
            <w:noProof/>
            <w:webHidden/>
          </w:rPr>
          <w:fldChar w:fldCharType="end"/>
        </w:r>
      </w:hyperlink>
    </w:p>
    <w:p w:rsidR="007E1694" w:rsidRDefault="007E1694">
      <w:pPr>
        <w:pStyle w:val="TOC1"/>
        <w:rPr>
          <w:rFonts w:asciiTheme="minorHAnsi" w:eastAsiaTheme="minorEastAsia" w:hAnsiTheme="minorHAnsi" w:cstheme="minorBidi"/>
          <w:noProof/>
          <w:sz w:val="22"/>
          <w:szCs w:val="22"/>
          <w:lang w:val="de-DE" w:eastAsia="de-DE"/>
        </w:rPr>
      </w:pPr>
      <w:hyperlink w:anchor="_Toc52287630" w:history="1">
        <w:r w:rsidRPr="00E4345C">
          <w:rPr>
            <w:rStyle w:val="Hyperlink"/>
            <w:noProof/>
          </w:rPr>
          <w:t>2</w:t>
        </w:r>
        <w:r>
          <w:rPr>
            <w:rFonts w:asciiTheme="minorHAnsi" w:eastAsiaTheme="minorEastAsia" w:hAnsiTheme="minorHAnsi" w:cstheme="minorBidi"/>
            <w:noProof/>
            <w:sz w:val="22"/>
            <w:szCs w:val="22"/>
            <w:lang w:val="de-DE" w:eastAsia="de-DE"/>
          </w:rPr>
          <w:tab/>
        </w:r>
        <w:r w:rsidRPr="00E4345C">
          <w:rPr>
            <w:rStyle w:val="Hyperlink"/>
            <w:noProof/>
          </w:rPr>
          <w:t>Anwendungsfälle</w:t>
        </w:r>
        <w:r>
          <w:rPr>
            <w:noProof/>
            <w:webHidden/>
          </w:rPr>
          <w:tab/>
        </w:r>
        <w:r>
          <w:rPr>
            <w:noProof/>
            <w:webHidden/>
          </w:rPr>
          <w:fldChar w:fldCharType="begin"/>
        </w:r>
        <w:r>
          <w:rPr>
            <w:noProof/>
            <w:webHidden/>
          </w:rPr>
          <w:instrText xml:space="preserve"> PAGEREF _Toc52287630 \h </w:instrText>
        </w:r>
        <w:r>
          <w:rPr>
            <w:noProof/>
            <w:webHidden/>
          </w:rPr>
        </w:r>
        <w:r>
          <w:rPr>
            <w:noProof/>
            <w:webHidden/>
          </w:rPr>
          <w:fldChar w:fldCharType="separate"/>
        </w:r>
        <w:r>
          <w:rPr>
            <w:noProof/>
            <w:webHidden/>
          </w:rPr>
          <w:t>3</w:t>
        </w:r>
        <w:r>
          <w:rPr>
            <w:noProof/>
            <w:webHidden/>
          </w:rPr>
          <w:fldChar w:fldCharType="end"/>
        </w:r>
      </w:hyperlink>
    </w:p>
    <w:p w:rsidR="007E1694" w:rsidRDefault="007E1694">
      <w:pPr>
        <w:pStyle w:val="TOC1"/>
        <w:rPr>
          <w:rFonts w:asciiTheme="minorHAnsi" w:eastAsiaTheme="minorEastAsia" w:hAnsiTheme="minorHAnsi" w:cstheme="minorBidi"/>
          <w:noProof/>
          <w:sz w:val="22"/>
          <w:szCs w:val="22"/>
          <w:lang w:val="de-DE" w:eastAsia="de-DE"/>
        </w:rPr>
      </w:pPr>
      <w:hyperlink w:anchor="_Toc52287631" w:history="1">
        <w:r w:rsidRPr="00E4345C">
          <w:rPr>
            <w:rStyle w:val="Hyperlink"/>
            <w:noProof/>
          </w:rPr>
          <w:t>3</w:t>
        </w:r>
        <w:r>
          <w:rPr>
            <w:rFonts w:asciiTheme="minorHAnsi" w:eastAsiaTheme="minorEastAsia" w:hAnsiTheme="minorHAnsi" w:cstheme="minorBidi"/>
            <w:noProof/>
            <w:sz w:val="22"/>
            <w:szCs w:val="22"/>
            <w:lang w:val="de-DE" w:eastAsia="de-DE"/>
          </w:rPr>
          <w:tab/>
        </w:r>
        <w:r w:rsidRPr="00E4345C">
          <w:rPr>
            <w:rStyle w:val="Hyperlink"/>
            <w:noProof/>
          </w:rPr>
          <w:t>Voraussetzungen</w:t>
        </w:r>
        <w:r>
          <w:rPr>
            <w:noProof/>
            <w:webHidden/>
          </w:rPr>
          <w:tab/>
        </w:r>
        <w:r>
          <w:rPr>
            <w:noProof/>
            <w:webHidden/>
          </w:rPr>
          <w:fldChar w:fldCharType="begin"/>
        </w:r>
        <w:r>
          <w:rPr>
            <w:noProof/>
            <w:webHidden/>
          </w:rPr>
          <w:instrText xml:space="preserve"> PAGEREF _Toc52287631 \h </w:instrText>
        </w:r>
        <w:r>
          <w:rPr>
            <w:noProof/>
            <w:webHidden/>
          </w:rPr>
        </w:r>
        <w:r>
          <w:rPr>
            <w:noProof/>
            <w:webHidden/>
          </w:rPr>
          <w:fldChar w:fldCharType="separate"/>
        </w:r>
        <w:r>
          <w:rPr>
            <w:noProof/>
            <w:webHidden/>
          </w:rPr>
          <w:t>7</w:t>
        </w:r>
        <w:r>
          <w:rPr>
            <w:noProof/>
            <w:webHidden/>
          </w:rPr>
          <w:fldChar w:fldCharType="end"/>
        </w:r>
      </w:hyperlink>
    </w:p>
    <w:p w:rsidR="007E1694" w:rsidRDefault="007E1694">
      <w:pPr>
        <w:pStyle w:val="TOC2"/>
        <w:rPr>
          <w:rFonts w:asciiTheme="minorHAnsi" w:eastAsiaTheme="minorEastAsia" w:hAnsiTheme="minorHAnsi" w:cstheme="minorBidi"/>
          <w:noProof/>
          <w:sz w:val="22"/>
          <w:szCs w:val="22"/>
          <w:lang w:val="de-DE" w:eastAsia="de-DE"/>
        </w:rPr>
      </w:pPr>
      <w:hyperlink w:anchor="_Toc52287632" w:history="1">
        <w:r w:rsidRPr="00E4345C">
          <w:rPr>
            <w:rStyle w:val="Hyperlink"/>
            <w:noProof/>
          </w:rPr>
          <w:t>3.1</w:t>
        </w:r>
        <w:r>
          <w:rPr>
            <w:rFonts w:asciiTheme="minorHAnsi" w:eastAsiaTheme="minorEastAsia" w:hAnsiTheme="minorHAnsi" w:cstheme="minorBidi"/>
            <w:noProof/>
            <w:sz w:val="22"/>
            <w:szCs w:val="22"/>
            <w:lang w:val="de-DE" w:eastAsia="de-DE"/>
          </w:rPr>
          <w:tab/>
        </w:r>
        <w:r w:rsidRPr="00E4345C">
          <w:rPr>
            <w:rStyle w:val="Hyperlink"/>
            <w:noProof/>
          </w:rPr>
          <w:t>Zusätzliche manuelle Konfiguration</w:t>
        </w:r>
        <w:r>
          <w:rPr>
            <w:noProof/>
            <w:webHidden/>
          </w:rPr>
          <w:tab/>
        </w:r>
        <w:r>
          <w:rPr>
            <w:noProof/>
            <w:webHidden/>
          </w:rPr>
          <w:fldChar w:fldCharType="begin"/>
        </w:r>
        <w:r>
          <w:rPr>
            <w:noProof/>
            <w:webHidden/>
          </w:rPr>
          <w:instrText xml:space="preserve"> PAGEREF _Toc52287632 \h </w:instrText>
        </w:r>
        <w:r>
          <w:rPr>
            <w:noProof/>
            <w:webHidden/>
          </w:rPr>
        </w:r>
        <w:r>
          <w:rPr>
            <w:noProof/>
            <w:webHidden/>
          </w:rPr>
          <w:fldChar w:fldCharType="separate"/>
        </w:r>
        <w:r>
          <w:rPr>
            <w:noProof/>
            <w:webHidden/>
          </w:rPr>
          <w:t>7</w:t>
        </w:r>
        <w:r>
          <w:rPr>
            <w:noProof/>
            <w:webHidden/>
          </w:rPr>
          <w:fldChar w:fldCharType="end"/>
        </w:r>
      </w:hyperlink>
    </w:p>
    <w:p w:rsidR="007E1694" w:rsidRDefault="007E1694">
      <w:pPr>
        <w:pStyle w:val="TOC2"/>
        <w:rPr>
          <w:rFonts w:asciiTheme="minorHAnsi" w:eastAsiaTheme="minorEastAsia" w:hAnsiTheme="minorHAnsi" w:cstheme="minorBidi"/>
          <w:noProof/>
          <w:sz w:val="22"/>
          <w:szCs w:val="22"/>
          <w:lang w:val="de-DE" w:eastAsia="de-DE"/>
        </w:rPr>
      </w:pPr>
      <w:hyperlink w:anchor="_Toc52287633" w:history="1">
        <w:r w:rsidRPr="00E4345C">
          <w:rPr>
            <w:rStyle w:val="Hyperlink"/>
            <w:noProof/>
          </w:rPr>
          <w:t>3.2</w:t>
        </w:r>
        <w:r>
          <w:rPr>
            <w:rFonts w:asciiTheme="minorHAnsi" w:eastAsiaTheme="minorEastAsia" w:hAnsiTheme="minorHAnsi" w:cstheme="minorBidi"/>
            <w:noProof/>
            <w:sz w:val="22"/>
            <w:szCs w:val="22"/>
            <w:lang w:val="de-DE" w:eastAsia="de-DE"/>
          </w:rPr>
          <w:tab/>
        </w:r>
        <w:r w:rsidRPr="00E4345C">
          <w:rPr>
            <w:rStyle w:val="Hyperlink"/>
            <w:noProof/>
          </w:rPr>
          <w:t>Systemzugriff</w:t>
        </w:r>
        <w:r>
          <w:rPr>
            <w:noProof/>
            <w:webHidden/>
          </w:rPr>
          <w:tab/>
        </w:r>
        <w:r>
          <w:rPr>
            <w:noProof/>
            <w:webHidden/>
          </w:rPr>
          <w:fldChar w:fldCharType="begin"/>
        </w:r>
        <w:r>
          <w:rPr>
            <w:noProof/>
            <w:webHidden/>
          </w:rPr>
          <w:instrText xml:space="preserve"> PAGEREF _Toc52287633 \h </w:instrText>
        </w:r>
        <w:r>
          <w:rPr>
            <w:noProof/>
            <w:webHidden/>
          </w:rPr>
        </w:r>
        <w:r>
          <w:rPr>
            <w:noProof/>
            <w:webHidden/>
          </w:rPr>
          <w:fldChar w:fldCharType="separate"/>
        </w:r>
        <w:r>
          <w:rPr>
            <w:noProof/>
            <w:webHidden/>
          </w:rPr>
          <w:t>7</w:t>
        </w:r>
        <w:r>
          <w:rPr>
            <w:noProof/>
            <w:webHidden/>
          </w:rPr>
          <w:fldChar w:fldCharType="end"/>
        </w:r>
      </w:hyperlink>
    </w:p>
    <w:p w:rsidR="007E1694" w:rsidRDefault="007E1694">
      <w:pPr>
        <w:pStyle w:val="TOC2"/>
        <w:rPr>
          <w:rFonts w:asciiTheme="minorHAnsi" w:eastAsiaTheme="minorEastAsia" w:hAnsiTheme="minorHAnsi" w:cstheme="minorBidi"/>
          <w:noProof/>
          <w:sz w:val="22"/>
          <w:szCs w:val="22"/>
          <w:lang w:val="de-DE" w:eastAsia="de-DE"/>
        </w:rPr>
      </w:pPr>
      <w:hyperlink w:anchor="_Toc52287634" w:history="1">
        <w:r w:rsidRPr="00E4345C">
          <w:rPr>
            <w:rStyle w:val="Hyperlink"/>
            <w:noProof/>
          </w:rPr>
          <w:t>3.3</w:t>
        </w:r>
        <w:r>
          <w:rPr>
            <w:rFonts w:asciiTheme="minorHAnsi" w:eastAsiaTheme="minorEastAsia" w:hAnsiTheme="minorHAnsi" w:cstheme="minorBidi"/>
            <w:noProof/>
            <w:sz w:val="22"/>
            <w:szCs w:val="22"/>
            <w:lang w:val="de-DE" w:eastAsia="de-DE"/>
          </w:rPr>
          <w:tab/>
        </w:r>
        <w:r w:rsidRPr="00E4345C">
          <w:rPr>
            <w:rStyle w:val="Hyperlink"/>
            <w:noProof/>
          </w:rPr>
          <w:t>Rollen</w:t>
        </w:r>
        <w:r>
          <w:rPr>
            <w:noProof/>
            <w:webHidden/>
          </w:rPr>
          <w:tab/>
        </w:r>
        <w:r>
          <w:rPr>
            <w:noProof/>
            <w:webHidden/>
          </w:rPr>
          <w:fldChar w:fldCharType="begin"/>
        </w:r>
        <w:r>
          <w:rPr>
            <w:noProof/>
            <w:webHidden/>
          </w:rPr>
          <w:instrText xml:space="preserve"> PAGEREF _Toc52287634 \h </w:instrText>
        </w:r>
        <w:r>
          <w:rPr>
            <w:noProof/>
            <w:webHidden/>
          </w:rPr>
        </w:r>
        <w:r>
          <w:rPr>
            <w:noProof/>
            <w:webHidden/>
          </w:rPr>
          <w:fldChar w:fldCharType="separate"/>
        </w:r>
        <w:r>
          <w:rPr>
            <w:noProof/>
            <w:webHidden/>
          </w:rPr>
          <w:t>7</w:t>
        </w:r>
        <w:r>
          <w:rPr>
            <w:noProof/>
            <w:webHidden/>
          </w:rPr>
          <w:fldChar w:fldCharType="end"/>
        </w:r>
      </w:hyperlink>
    </w:p>
    <w:p w:rsidR="007E1694" w:rsidRDefault="007E1694">
      <w:pPr>
        <w:pStyle w:val="TOC2"/>
        <w:rPr>
          <w:rFonts w:asciiTheme="minorHAnsi" w:eastAsiaTheme="minorEastAsia" w:hAnsiTheme="minorHAnsi" w:cstheme="minorBidi"/>
          <w:noProof/>
          <w:sz w:val="22"/>
          <w:szCs w:val="22"/>
          <w:lang w:val="de-DE" w:eastAsia="de-DE"/>
        </w:rPr>
      </w:pPr>
      <w:hyperlink w:anchor="_Toc52287635" w:history="1">
        <w:r w:rsidRPr="00E4345C">
          <w:rPr>
            <w:rStyle w:val="Hyperlink"/>
            <w:noProof/>
          </w:rPr>
          <w:t>3.4</w:t>
        </w:r>
        <w:r>
          <w:rPr>
            <w:rFonts w:asciiTheme="minorHAnsi" w:eastAsiaTheme="minorEastAsia" w:hAnsiTheme="minorHAnsi" w:cstheme="minorBidi"/>
            <w:noProof/>
            <w:sz w:val="22"/>
            <w:szCs w:val="22"/>
            <w:lang w:val="de-DE" w:eastAsia="de-DE"/>
          </w:rPr>
          <w:tab/>
        </w:r>
        <w:r w:rsidRPr="00E4345C">
          <w:rPr>
            <w:rStyle w:val="Hyperlink"/>
            <w:noProof/>
          </w:rPr>
          <w:t>Stammdaten, Organisationsdaten und sonstige Daten</w:t>
        </w:r>
        <w:r>
          <w:rPr>
            <w:noProof/>
            <w:webHidden/>
          </w:rPr>
          <w:tab/>
        </w:r>
        <w:r>
          <w:rPr>
            <w:noProof/>
            <w:webHidden/>
          </w:rPr>
          <w:fldChar w:fldCharType="begin"/>
        </w:r>
        <w:r>
          <w:rPr>
            <w:noProof/>
            <w:webHidden/>
          </w:rPr>
          <w:instrText xml:space="preserve"> PAGEREF _Toc52287635 \h </w:instrText>
        </w:r>
        <w:r>
          <w:rPr>
            <w:noProof/>
            <w:webHidden/>
          </w:rPr>
        </w:r>
        <w:r>
          <w:rPr>
            <w:noProof/>
            <w:webHidden/>
          </w:rPr>
          <w:fldChar w:fldCharType="separate"/>
        </w:r>
        <w:r>
          <w:rPr>
            <w:noProof/>
            <w:webHidden/>
          </w:rPr>
          <w:t>8</w:t>
        </w:r>
        <w:r>
          <w:rPr>
            <w:noProof/>
            <w:webHidden/>
          </w:rPr>
          <w:fldChar w:fldCharType="end"/>
        </w:r>
      </w:hyperlink>
    </w:p>
    <w:p w:rsidR="007E1694" w:rsidRDefault="007E1694">
      <w:pPr>
        <w:pStyle w:val="TOC2"/>
        <w:rPr>
          <w:rFonts w:asciiTheme="minorHAnsi" w:eastAsiaTheme="minorEastAsia" w:hAnsiTheme="minorHAnsi" w:cstheme="minorBidi"/>
          <w:noProof/>
          <w:sz w:val="22"/>
          <w:szCs w:val="22"/>
          <w:lang w:val="de-DE" w:eastAsia="de-DE"/>
        </w:rPr>
      </w:pPr>
      <w:hyperlink w:anchor="_Toc52287636" w:history="1">
        <w:r w:rsidRPr="00E4345C">
          <w:rPr>
            <w:rStyle w:val="Hyperlink"/>
            <w:noProof/>
          </w:rPr>
          <w:t>3.5</w:t>
        </w:r>
        <w:r>
          <w:rPr>
            <w:rFonts w:asciiTheme="minorHAnsi" w:eastAsiaTheme="minorEastAsia" w:hAnsiTheme="minorHAnsi" w:cstheme="minorBidi"/>
            <w:noProof/>
            <w:sz w:val="22"/>
            <w:szCs w:val="22"/>
            <w:lang w:val="de-DE" w:eastAsia="de-DE"/>
          </w:rPr>
          <w:tab/>
        </w:r>
        <w:r w:rsidRPr="00E4345C">
          <w:rPr>
            <w:rStyle w:val="Hyperlink"/>
            <w:noProof/>
          </w:rPr>
          <w:t>Voraussetzungen/Situation</w:t>
        </w:r>
        <w:r>
          <w:rPr>
            <w:noProof/>
            <w:webHidden/>
          </w:rPr>
          <w:tab/>
        </w:r>
        <w:r>
          <w:rPr>
            <w:noProof/>
            <w:webHidden/>
          </w:rPr>
          <w:fldChar w:fldCharType="begin"/>
        </w:r>
        <w:r>
          <w:rPr>
            <w:noProof/>
            <w:webHidden/>
          </w:rPr>
          <w:instrText xml:space="preserve"> PAGEREF _Toc52287636 \h </w:instrText>
        </w:r>
        <w:r>
          <w:rPr>
            <w:noProof/>
            <w:webHidden/>
          </w:rPr>
        </w:r>
        <w:r>
          <w:rPr>
            <w:noProof/>
            <w:webHidden/>
          </w:rPr>
          <w:fldChar w:fldCharType="separate"/>
        </w:r>
        <w:r>
          <w:rPr>
            <w:noProof/>
            <w:webHidden/>
          </w:rPr>
          <w:t>8</w:t>
        </w:r>
        <w:r>
          <w:rPr>
            <w:noProof/>
            <w:webHidden/>
          </w:rPr>
          <w:fldChar w:fldCharType="end"/>
        </w:r>
      </w:hyperlink>
    </w:p>
    <w:p w:rsidR="007E1694" w:rsidRDefault="007E1694">
      <w:pPr>
        <w:pStyle w:val="TOC1"/>
        <w:rPr>
          <w:rFonts w:asciiTheme="minorHAnsi" w:eastAsiaTheme="minorEastAsia" w:hAnsiTheme="minorHAnsi" w:cstheme="minorBidi"/>
          <w:noProof/>
          <w:sz w:val="22"/>
          <w:szCs w:val="22"/>
          <w:lang w:val="de-DE" w:eastAsia="de-DE"/>
        </w:rPr>
      </w:pPr>
      <w:hyperlink w:anchor="_Toc52287637" w:history="1">
        <w:r w:rsidRPr="00E4345C">
          <w:rPr>
            <w:rStyle w:val="Hyperlink"/>
            <w:noProof/>
          </w:rPr>
          <w:t>4</w:t>
        </w:r>
        <w:r>
          <w:rPr>
            <w:rFonts w:asciiTheme="minorHAnsi" w:eastAsiaTheme="minorEastAsia" w:hAnsiTheme="minorHAnsi" w:cstheme="minorBidi"/>
            <w:noProof/>
            <w:sz w:val="22"/>
            <w:szCs w:val="22"/>
            <w:lang w:val="de-DE" w:eastAsia="de-DE"/>
          </w:rPr>
          <w:tab/>
        </w:r>
        <w:r w:rsidRPr="00E4345C">
          <w:rPr>
            <w:rStyle w:val="Hyperlink"/>
            <w:noProof/>
          </w:rPr>
          <w:t>Übersichtstabelle</w:t>
        </w:r>
        <w:r>
          <w:rPr>
            <w:noProof/>
            <w:webHidden/>
          </w:rPr>
          <w:tab/>
        </w:r>
        <w:r>
          <w:rPr>
            <w:noProof/>
            <w:webHidden/>
          </w:rPr>
          <w:fldChar w:fldCharType="begin"/>
        </w:r>
        <w:r>
          <w:rPr>
            <w:noProof/>
            <w:webHidden/>
          </w:rPr>
          <w:instrText xml:space="preserve"> PAGEREF _Toc52287637 \h </w:instrText>
        </w:r>
        <w:r>
          <w:rPr>
            <w:noProof/>
            <w:webHidden/>
          </w:rPr>
        </w:r>
        <w:r>
          <w:rPr>
            <w:noProof/>
            <w:webHidden/>
          </w:rPr>
          <w:fldChar w:fldCharType="separate"/>
        </w:r>
        <w:r>
          <w:rPr>
            <w:noProof/>
            <w:webHidden/>
          </w:rPr>
          <w:t>9</w:t>
        </w:r>
        <w:r>
          <w:rPr>
            <w:noProof/>
            <w:webHidden/>
          </w:rPr>
          <w:fldChar w:fldCharType="end"/>
        </w:r>
      </w:hyperlink>
    </w:p>
    <w:p w:rsidR="007E1694" w:rsidRDefault="007E1694">
      <w:pPr>
        <w:pStyle w:val="TOC1"/>
        <w:rPr>
          <w:rFonts w:asciiTheme="minorHAnsi" w:eastAsiaTheme="minorEastAsia" w:hAnsiTheme="minorHAnsi" w:cstheme="minorBidi"/>
          <w:noProof/>
          <w:sz w:val="22"/>
          <w:szCs w:val="22"/>
          <w:lang w:val="de-DE" w:eastAsia="de-DE"/>
        </w:rPr>
      </w:pPr>
      <w:hyperlink w:anchor="_Toc52287638" w:history="1">
        <w:r w:rsidRPr="00E4345C">
          <w:rPr>
            <w:rStyle w:val="Hyperlink"/>
            <w:noProof/>
          </w:rPr>
          <w:t>5</w:t>
        </w:r>
        <w:r>
          <w:rPr>
            <w:rFonts w:asciiTheme="minorHAnsi" w:eastAsiaTheme="minorEastAsia" w:hAnsiTheme="minorHAnsi" w:cstheme="minorBidi"/>
            <w:noProof/>
            <w:sz w:val="22"/>
            <w:szCs w:val="22"/>
            <w:lang w:val="de-DE" w:eastAsia="de-DE"/>
          </w:rPr>
          <w:tab/>
        </w:r>
        <w:r w:rsidRPr="00E4345C">
          <w:rPr>
            <w:rStyle w:val="Hyperlink"/>
            <w:noProof/>
          </w:rPr>
          <w:t>Testverfahren</w:t>
        </w:r>
        <w:r>
          <w:rPr>
            <w:noProof/>
            <w:webHidden/>
          </w:rPr>
          <w:tab/>
        </w:r>
        <w:r>
          <w:rPr>
            <w:noProof/>
            <w:webHidden/>
          </w:rPr>
          <w:fldChar w:fldCharType="begin"/>
        </w:r>
        <w:r>
          <w:rPr>
            <w:noProof/>
            <w:webHidden/>
          </w:rPr>
          <w:instrText xml:space="preserve"> PAGEREF _Toc52287638 \h </w:instrText>
        </w:r>
        <w:r>
          <w:rPr>
            <w:noProof/>
            <w:webHidden/>
          </w:rPr>
        </w:r>
        <w:r>
          <w:rPr>
            <w:noProof/>
            <w:webHidden/>
          </w:rPr>
          <w:fldChar w:fldCharType="separate"/>
        </w:r>
        <w:r>
          <w:rPr>
            <w:noProof/>
            <w:webHidden/>
          </w:rPr>
          <w:t>10</w:t>
        </w:r>
        <w:r>
          <w:rPr>
            <w:noProof/>
            <w:webHidden/>
          </w:rPr>
          <w:fldChar w:fldCharType="end"/>
        </w:r>
      </w:hyperlink>
    </w:p>
    <w:p w:rsidR="007E1694" w:rsidRDefault="007E1694">
      <w:pPr>
        <w:pStyle w:val="TOC2"/>
        <w:rPr>
          <w:rFonts w:asciiTheme="minorHAnsi" w:eastAsiaTheme="minorEastAsia" w:hAnsiTheme="minorHAnsi" w:cstheme="minorBidi"/>
          <w:noProof/>
          <w:sz w:val="22"/>
          <w:szCs w:val="22"/>
          <w:lang w:val="de-DE" w:eastAsia="de-DE"/>
        </w:rPr>
      </w:pPr>
      <w:hyperlink w:anchor="_Toc52287639" w:history="1">
        <w:r w:rsidRPr="00E4345C">
          <w:rPr>
            <w:rStyle w:val="Hyperlink"/>
            <w:noProof/>
          </w:rPr>
          <w:t>5.1</w:t>
        </w:r>
        <w:r>
          <w:rPr>
            <w:rFonts w:asciiTheme="minorHAnsi" w:eastAsiaTheme="minorEastAsia" w:hAnsiTheme="minorHAnsi" w:cstheme="minorBidi"/>
            <w:noProof/>
            <w:sz w:val="22"/>
            <w:szCs w:val="22"/>
            <w:lang w:val="de-DE" w:eastAsia="de-DE"/>
          </w:rPr>
          <w:tab/>
        </w:r>
        <w:r w:rsidRPr="00E4345C">
          <w:rPr>
            <w:rStyle w:val="Hyperlink"/>
            <w:noProof/>
          </w:rPr>
          <w:t>Automatische Prozedur anlegen</w:t>
        </w:r>
        <w:r>
          <w:rPr>
            <w:noProof/>
            <w:webHidden/>
          </w:rPr>
          <w:tab/>
        </w:r>
        <w:r>
          <w:rPr>
            <w:noProof/>
            <w:webHidden/>
          </w:rPr>
          <w:fldChar w:fldCharType="begin"/>
        </w:r>
        <w:r>
          <w:rPr>
            <w:noProof/>
            <w:webHidden/>
          </w:rPr>
          <w:instrText xml:space="preserve"> PAGEREF _Toc52287639 \h </w:instrText>
        </w:r>
        <w:r>
          <w:rPr>
            <w:noProof/>
            <w:webHidden/>
          </w:rPr>
        </w:r>
        <w:r>
          <w:rPr>
            <w:noProof/>
            <w:webHidden/>
          </w:rPr>
          <w:fldChar w:fldCharType="separate"/>
        </w:r>
        <w:r>
          <w:rPr>
            <w:noProof/>
            <w:webHidden/>
          </w:rPr>
          <w:t>10</w:t>
        </w:r>
        <w:r>
          <w:rPr>
            <w:noProof/>
            <w:webHidden/>
          </w:rPr>
          <w:fldChar w:fldCharType="end"/>
        </w:r>
      </w:hyperlink>
    </w:p>
    <w:p w:rsidR="007E1694" w:rsidRDefault="007E1694">
      <w:pPr>
        <w:pStyle w:val="TOC2"/>
        <w:rPr>
          <w:rFonts w:asciiTheme="minorHAnsi" w:eastAsiaTheme="minorEastAsia" w:hAnsiTheme="minorHAnsi" w:cstheme="minorBidi"/>
          <w:noProof/>
          <w:sz w:val="22"/>
          <w:szCs w:val="22"/>
          <w:lang w:val="de-DE" w:eastAsia="de-DE"/>
        </w:rPr>
      </w:pPr>
      <w:hyperlink w:anchor="_Toc52287640" w:history="1">
        <w:r w:rsidRPr="00E4345C">
          <w:rPr>
            <w:rStyle w:val="Hyperlink"/>
            <w:noProof/>
          </w:rPr>
          <w:t>5.2</w:t>
        </w:r>
        <w:r>
          <w:rPr>
            <w:rFonts w:asciiTheme="minorHAnsi" w:eastAsiaTheme="minorEastAsia" w:hAnsiTheme="minorHAnsi" w:cstheme="minorBidi"/>
            <w:noProof/>
            <w:sz w:val="22"/>
            <w:szCs w:val="22"/>
            <w:lang w:val="de-DE" w:eastAsia="de-DE"/>
          </w:rPr>
          <w:tab/>
        </w:r>
        <w:r w:rsidRPr="00E4345C">
          <w:rPr>
            <w:rStyle w:val="Hyperlink"/>
            <w:noProof/>
          </w:rPr>
          <w:t>Controls anlegen</w:t>
        </w:r>
        <w:r>
          <w:rPr>
            <w:noProof/>
            <w:webHidden/>
          </w:rPr>
          <w:tab/>
        </w:r>
        <w:r>
          <w:rPr>
            <w:noProof/>
            <w:webHidden/>
          </w:rPr>
          <w:fldChar w:fldCharType="begin"/>
        </w:r>
        <w:r>
          <w:rPr>
            <w:noProof/>
            <w:webHidden/>
          </w:rPr>
          <w:instrText xml:space="preserve"> PAGEREF _Toc52287640 \h </w:instrText>
        </w:r>
        <w:r>
          <w:rPr>
            <w:noProof/>
            <w:webHidden/>
          </w:rPr>
        </w:r>
        <w:r>
          <w:rPr>
            <w:noProof/>
            <w:webHidden/>
          </w:rPr>
          <w:fldChar w:fldCharType="separate"/>
        </w:r>
        <w:r>
          <w:rPr>
            <w:noProof/>
            <w:webHidden/>
          </w:rPr>
          <w:t>14</w:t>
        </w:r>
        <w:r>
          <w:rPr>
            <w:noProof/>
            <w:webHidden/>
          </w:rPr>
          <w:fldChar w:fldCharType="end"/>
        </w:r>
      </w:hyperlink>
    </w:p>
    <w:p w:rsidR="007E1694" w:rsidRDefault="007E1694">
      <w:pPr>
        <w:pStyle w:val="TOC2"/>
        <w:rPr>
          <w:rFonts w:asciiTheme="minorHAnsi" w:eastAsiaTheme="minorEastAsia" w:hAnsiTheme="minorHAnsi" w:cstheme="minorBidi"/>
          <w:noProof/>
          <w:sz w:val="22"/>
          <w:szCs w:val="22"/>
          <w:lang w:val="de-DE" w:eastAsia="de-DE"/>
        </w:rPr>
      </w:pPr>
      <w:hyperlink w:anchor="_Toc52287641" w:history="1">
        <w:r w:rsidRPr="00E4345C">
          <w:rPr>
            <w:rStyle w:val="Hyperlink"/>
            <w:noProof/>
          </w:rPr>
          <w:t>5.3</w:t>
        </w:r>
        <w:r>
          <w:rPr>
            <w:rFonts w:asciiTheme="minorHAnsi" w:eastAsiaTheme="minorEastAsia" w:hAnsiTheme="minorHAnsi" w:cstheme="minorBidi"/>
            <w:noProof/>
            <w:sz w:val="22"/>
            <w:szCs w:val="22"/>
            <w:lang w:val="de-DE" w:eastAsia="de-DE"/>
          </w:rPr>
          <w:tab/>
        </w:r>
        <w:r w:rsidRPr="00E4345C">
          <w:rPr>
            <w:rStyle w:val="Hyperlink"/>
            <w:noProof/>
          </w:rPr>
          <w:t>Arbeitspaket anlegen</w:t>
        </w:r>
        <w:r>
          <w:rPr>
            <w:noProof/>
            <w:webHidden/>
          </w:rPr>
          <w:tab/>
        </w:r>
        <w:r>
          <w:rPr>
            <w:noProof/>
            <w:webHidden/>
          </w:rPr>
          <w:fldChar w:fldCharType="begin"/>
        </w:r>
        <w:r>
          <w:rPr>
            <w:noProof/>
            <w:webHidden/>
          </w:rPr>
          <w:instrText xml:space="preserve"> PAGEREF _Toc52287641 \h </w:instrText>
        </w:r>
        <w:r>
          <w:rPr>
            <w:noProof/>
            <w:webHidden/>
          </w:rPr>
        </w:r>
        <w:r>
          <w:rPr>
            <w:noProof/>
            <w:webHidden/>
          </w:rPr>
          <w:fldChar w:fldCharType="separate"/>
        </w:r>
        <w:r>
          <w:rPr>
            <w:noProof/>
            <w:webHidden/>
          </w:rPr>
          <w:t>16</w:t>
        </w:r>
        <w:r>
          <w:rPr>
            <w:noProof/>
            <w:webHidden/>
          </w:rPr>
          <w:fldChar w:fldCharType="end"/>
        </w:r>
      </w:hyperlink>
    </w:p>
    <w:p w:rsidR="007E1694" w:rsidRDefault="007E1694">
      <w:pPr>
        <w:pStyle w:val="TOC2"/>
        <w:rPr>
          <w:rFonts w:asciiTheme="minorHAnsi" w:eastAsiaTheme="minorEastAsia" w:hAnsiTheme="minorHAnsi" w:cstheme="minorBidi"/>
          <w:noProof/>
          <w:sz w:val="22"/>
          <w:szCs w:val="22"/>
          <w:lang w:val="de-DE" w:eastAsia="de-DE"/>
        </w:rPr>
      </w:pPr>
      <w:hyperlink w:anchor="_Toc52287642" w:history="1">
        <w:r w:rsidRPr="00E4345C">
          <w:rPr>
            <w:rStyle w:val="Hyperlink"/>
            <w:noProof/>
          </w:rPr>
          <w:t>5.4</w:t>
        </w:r>
        <w:r>
          <w:rPr>
            <w:rFonts w:asciiTheme="minorHAnsi" w:eastAsiaTheme="minorEastAsia" w:hAnsiTheme="minorHAnsi" w:cstheme="minorBidi"/>
            <w:noProof/>
            <w:sz w:val="22"/>
            <w:szCs w:val="22"/>
            <w:lang w:val="de-DE" w:eastAsia="de-DE"/>
          </w:rPr>
          <w:tab/>
        </w:r>
        <w:r w:rsidRPr="00E4345C">
          <w:rPr>
            <w:rStyle w:val="Hyperlink"/>
            <w:noProof/>
          </w:rPr>
          <w:t>Ergebnis des automatisierten Prozedurlaufs anzeigen</w:t>
        </w:r>
        <w:r>
          <w:rPr>
            <w:noProof/>
            <w:webHidden/>
          </w:rPr>
          <w:tab/>
        </w:r>
        <w:r>
          <w:rPr>
            <w:noProof/>
            <w:webHidden/>
          </w:rPr>
          <w:fldChar w:fldCharType="begin"/>
        </w:r>
        <w:r>
          <w:rPr>
            <w:noProof/>
            <w:webHidden/>
          </w:rPr>
          <w:instrText xml:space="preserve"> PAGEREF _Toc52287642 \h </w:instrText>
        </w:r>
        <w:r>
          <w:rPr>
            <w:noProof/>
            <w:webHidden/>
          </w:rPr>
        </w:r>
        <w:r>
          <w:rPr>
            <w:noProof/>
            <w:webHidden/>
          </w:rPr>
          <w:fldChar w:fldCharType="separate"/>
        </w:r>
        <w:r>
          <w:rPr>
            <w:noProof/>
            <w:webHidden/>
          </w:rPr>
          <w:t>19</w:t>
        </w:r>
        <w:r>
          <w:rPr>
            <w:noProof/>
            <w:webHidden/>
          </w:rPr>
          <w:fldChar w:fldCharType="end"/>
        </w:r>
      </w:hyperlink>
    </w:p>
    <w:p w:rsidR="007E1694" w:rsidRDefault="007E1694" w:rsidP="00CC5D05">
      <w:pPr>
        <w:tabs>
          <w:tab w:val="right" w:leader="dot" w:pos="14317"/>
        </w:tabs>
        <w:rPr>
          <w:rFonts w:ascii="BentonSans Bold" w:hAnsi="BentonSans Bold"/>
        </w:rPr>
      </w:pPr>
      <w:r>
        <w:rPr>
          <w:rFonts w:ascii="BentonSans Bold" w:hAnsi="BentonSans Bold"/>
        </w:rPr>
        <w:fldChar w:fldCharType="end"/>
      </w:r>
    </w:p>
    <w:p w:rsidR="007E1694" w:rsidRPr="00CC5D05" w:rsidRDefault="007E1694" w:rsidP="00CC5D05">
      <w:pPr>
        <w:spacing w:after="200" w:line="276" w:lineRule="auto"/>
        <w:rPr>
          <w:rFonts w:ascii="BentonSans Bold" w:hAnsi="BentonSans Bold"/>
        </w:rPr>
      </w:pPr>
    </w:p>
    <w:p w:rsidR="006E388F" w:rsidRDefault="007E1694">
      <w:pPr>
        <w:pStyle w:val="Heading1"/>
      </w:pPr>
      <w:bookmarkStart w:id="3" w:name="_Toc52287629"/>
      <w:r>
        <w:t>Zweck</w:t>
      </w:r>
      <w:bookmarkEnd w:id="0"/>
      <w:bookmarkEnd w:id="3"/>
    </w:p>
    <w:p w:rsidR="006E388F" w:rsidRDefault="007E1694">
      <w:pPr>
        <w:pStyle w:val="Standard"/>
      </w:pPr>
      <w:r>
        <w:t>Mit SAP Privacy Governance Datenschutz stellt SAP effektive Mittel zur Analyse und Erkennung von Datenschutzabw</w:t>
      </w:r>
      <w:r>
        <w:t>eichungen in Ihrem verbundenen SAP-S/4HANA-System bereit.</w:t>
      </w:r>
    </w:p>
    <w:p w:rsidR="006E388F" w:rsidRDefault="007E1694">
      <w:pPr>
        <w:pStyle w:val="Standard"/>
      </w:pPr>
      <w:r>
        <w:t>Die Verwendung personenbezogener Daten ist streng geregelt durch verschiedene Regelungen und Datenschutzrisiken entstehen, wenn diese Art von Daten erfasst und verarbeitet wird. Als Ergänzung zur ma</w:t>
      </w:r>
      <w:r>
        <w:t>nuellen Steuerung ermöglicht dieser Umfangsbestandteil die automatische Erkennung von Datenschutzrisiken für persönliche Daten und relevante Dokumente, wie z.B. Kundenaufträge, und bietet Einblicke in das Meldewesen und proaktives Auditing.</w:t>
      </w:r>
    </w:p>
    <w:p w:rsidR="006E388F" w:rsidRDefault="007E1694">
      <w:pPr>
        <w:pStyle w:val="Standard"/>
      </w:pPr>
      <w:r>
        <w:t>Dieses Dokument</w:t>
      </w:r>
      <w:r>
        <w:t xml:space="preserve"> enthält eine allgemeine Ablaufbeschreibung, anhand derer der Umfangsbestandteil nach der Lösungsaktivierung getestet werden kann. In diesem Testskript wird die Erkennung von Datenschutzrisiken im Kundenauftrag als Beispiel verwendet. Außerdem können Sie e</w:t>
      </w:r>
      <w:r>
        <w:t xml:space="preserve">ntsprechend Ihren Anforderungen weitere Anwendungsfälle implementieren. Weitere Informationen dazu erhalten Sie unter </w:t>
      </w:r>
      <w:hyperlink r:id="rId7" w:history="1">
        <w:r>
          <w:t>Anwendungsfälle</w:t>
        </w:r>
      </w:hyperlink>
      <w:r>
        <w:t xml:space="preserve">  [Seite ] </w:t>
      </w:r>
      <w:r>
        <w:fldChar w:fldCharType="begin"/>
      </w:r>
      <w:r>
        <w:instrText xml:space="preserve"> PAGEREF unique_2 </w:instrText>
      </w:r>
      <w:r>
        <w:fldChar w:fldCharType="separate"/>
      </w:r>
      <w:r>
        <w:rPr>
          <w:noProof/>
        </w:rPr>
        <w:t>3</w:t>
      </w:r>
      <w:r>
        <w:fldChar w:fldCharType="end"/>
      </w:r>
      <w:r>
        <w:t>.</w:t>
      </w:r>
    </w:p>
    <w:p w:rsidR="006E388F" w:rsidRDefault="007E1694">
      <w:pPr>
        <w:pStyle w:val="Standard"/>
      </w:pPr>
      <w:r>
        <w:t>Jeder Prozessschritt, Report oder Bestandteil wird in einem eigenen Abschnitt beschrieben, in dem die Interaktionen im System (Testschritte) tabellarisch dargestellt sind. Schritte, die nicht im Prozessumfang enthalten si</w:t>
      </w:r>
      <w:r>
        <w:t>nd, aber zu Testzwecken benötigt werden, sind entsprechend gekennzeichnet. Projektspezifische Schritte sind zu ergänzen.</w:t>
      </w:r>
    </w:p>
    <w:p w:rsidR="006E388F" w:rsidRDefault="007E1694">
      <w:pPr>
        <w:pStyle w:val="Heading1"/>
      </w:pPr>
      <w:bookmarkStart w:id="4" w:name="unique_2"/>
      <w:bookmarkStart w:id="5" w:name="_Toc52287630"/>
      <w:r>
        <w:t>Anwendungsfälle</w:t>
      </w:r>
      <w:bookmarkEnd w:id="4"/>
      <w:bookmarkEnd w:id="5"/>
    </w:p>
    <w:p w:rsidR="006E388F" w:rsidRDefault="007E1694">
      <w:pPr>
        <w:pStyle w:val="Standard"/>
      </w:pPr>
      <w:r>
        <w:t>Die Basisinhalte werden zusammen mit der Lösung SAP Privacy Governance (SPG) vorab ausgeliefert. Sie werden als Schnell</w:t>
      </w:r>
      <w:r>
        <w:t>start für Ihr Unternehmen sowie zu Demo- und Schulungszwecken verwendet.</w:t>
      </w:r>
    </w:p>
    <w:p w:rsidR="006E388F" w:rsidRDefault="007E1694">
      <w:pPr>
        <w:pStyle w:val="Standard"/>
      </w:pPr>
      <w:r>
        <w:t>Derzeit werden die Beispielanwendungsfälle, die durch die Basisinhalte bereitgestellt werden, in der folgenden Tabelle aufgeführt.</w:t>
      </w:r>
    </w:p>
    <w:tbl>
      <w:tblPr>
        <w:tblStyle w:val="SAPStandardTable"/>
        <w:tblW w:w="14304" w:type="dxa"/>
        <w:tblInd w:w="0" w:type="dxa"/>
        <w:tblLayout w:type="fixed"/>
        <w:tblLook w:val="0620" w:firstRow="1" w:lastRow="0" w:firstColumn="0" w:lastColumn="0" w:noHBand="1" w:noVBand="1"/>
      </w:tblPr>
      <w:tblGrid>
        <w:gridCol w:w="2860"/>
        <w:gridCol w:w="2860"/>
        <w:gridCol w:w="2861"/>
        <w:gridCol w:w="2861"/>
        <w:gridCol w:w="2862"/>
      </w:tblGrid>
      <w:tr w:rsidR="006E388F" w:rsidTr="007E1694">
        <w:trPr>
          <w:cnfStyle w:val="100000000000" w:firstRow="1" w:lastRow="0" w:firstColumn="0" w:lastColumn="0" w:oddVBand="0" w:evenVBand="0" w:oddHBand="0" w:evenHBand="0" w:firstRowFirstColumn="0" w:firstRowLastColumn="0" w:lastRowFirstColumn="0" w:lastRowLastColumn="0"/>
        </w:trPr>
        <w:tc>
          <w:tcPr>
            <w:tcW w:w="2860" w:type="dxa"/>
            <w:vMerge w:val="restart"/>
          </w:tcPr>
          <w:p w:rsidR="006E388F" w:rsidRDefault="007E1694">
            <w:pPr>
              <w:pStyle w:val="SAPTableHeader"/>
            </w:pPr>
            <w:r>
              <w:t>Nein.</w:t>
            </w:r>
          </w:p>
        </w:tc>
        <w:tc>
          <w:tcPr>
            <w:tcW w:w="2860" w:type="dxa"/>
            <w:vMerge w:val="restart"/>
          </w:tcPr>
          <w:p w:rsidR="006E388F" w:rsidRDefault="007E1694">
            <w:pPr>
              <w:pStyle w:val="SAPTableHeader"/>
            </w:pPr>
            <w:r>
              <w:t>Anwendungsfall</w:t>
            </w:r>
          </w:p>
        </w:tc>
        <w:tc>
          <w:tcPr>
            <w:tcW w:w="8584" w:type="dxa"/>
            <w:gridSpan w:val="3"/>
          </w:tcPr>
          <w:p w:rsidR="006E388F" w:rsidRDefault="007E1694">
            <w:pPr>
              <w:pStyle w:val="SAPTableHeader"/>
            </w:pPr>
            <w:r>
              <w:t>Basisinhalte</w:t>
            </w:r>
          </w:p>
        </w:tc>
      </w:tr>
      <w:tr w:rsidR="006E388F" w:rsidTr="007E1694">
        <w:tc>
          <w:tcPr>
            <w:tcW w:w="2860" w:type="dxa"/>
            <w:vMerge/>
          </w:tcPr>
          <w:p w:rsidR="00000000" w:rsidRDefault="007E1694"/>
        </w:tc>
        <w:tc>
          <w:tcPr>
            <w:tcW w:w="2860" w:type="dxa"/>
            <w:vMerge/>
          </w:tcPr>
          <w:p w:rsidR="00000000" w:rsidRDefault="007E1694"/>
        </w:tc>
        <w:tc>
          <w:tcPr>
            <w:tcW w:w="2861" w:type="dxa"/>
          </w:tcPr>
          <w:p w:rsidR="006E388F" w:rsidRDefault="007E1694">
            <w:pPr>
              <w:pStyle w:val="SAPTableHeader"/>
            </w:pPr>
            <w:r>
              <w:t>Control-Name</w:t>
            </w:r>
          </w:p>
        </w:tc>
        <w:tc>
          <w:tcPr>
            <w:tcW w:w="2861" w:type="dxa"/>
          </w:tcPr>
          <w:p w:rsidR="006E388F" w:rsidRDefault="007E1694">
            <w:pPr>
              <w:pStyle w:val="SAPTableHeader"/>
            </w:pPr>
            <w:r>
              <w:t>Na</w:t>
            </w:r>
            <w:r>
              <w:t>me der automatischen Prozedur</w:t>
            </w:r>
          </w:p>
        </w:tc>
        <w:tc>
          <w:tcPr>
            <w:tcW w:w="2862" w:type="dxa"/>
          </w:tcPr>
          <w:p w:rsidR="006E388F" w:rsidRDefault="007E1694">
            <w:pPr>
              <w:pStyle w:val="SAPTableHeader"/>
            </w:pPr>
            <w:r>
              <w:t>Entitätsmenge</w:t>
            </w:r>
          </w:p>
        </w:tc>
      </w:tr>
      <w:tr w:rsidR="006E388F" w:rsidTr="007E1694">
        <w:tc>
          <w:tcPr>
            <w:tcW w:w="2860" w:type="dxa"/>
          </w:tcPr>
          <w:p w:rsidR="006E388F" w:rsidRDefault="007E1694">
            <w:pPr>
              <w:pStyle w:val="Standard"/>
            </w:pPr>
            <w:r>
              <w:t>1</w:t>
            </w:r>
          </w:p>
        </w:tc>
        <w:tc>
          <w:tcPr>
            <w:tcW w:w="2860" w:type="dxa"/>
          </w:tcPr>
          <w:p w:rsidR="006E388F" w:rsidRDefault="007E1694">
            <w:pPr>
              <w:pStyle w:val="Standard"/>
            </w:pPr>
            <w:r>
              <w:t>Prüfen Sie, ob produktive ILM-Regelwerke und praktikable Regeln für einen bestimmten Datentyp in S/4 vorhanden sind, z.B. Kundenaufträge.</w:t>
            </w:r>
          </w:p>
        </w:tc>
        <w:tc>
          <w:tcPr>
            <w:tcW w:w="2861" w:type="dxa"/>
          </w:tcPr>
          <w:p w:rsidR="006E388F" w:rsidRDefault="007E1694">
            <w:pPr>
              <w:pStyle w:val="Standard"/>
            </w:pPr>
            <w:r>
              <w:t>Aufbewahrungsregeln werden für Daten festgelegt.</w:t>
            </w:r>
          </w:p>
        </w:tc>
        <w:tc>
          <w:tcPr>
            <w:tcW w:w="2861" w:type="dxa"/>
          </w:tcPr>
          <w:p w:rsidR="006E388F" w:rsidRDefault="007E1694">
            <w:pPr>
              <w:pStyle w:val="Standard"/>
            </w:pPr>
            <w:r>
              <w:t xml:space="preserve">Prüfen Sie </w:t>
            </w:r>
            <w:r>
              <w:t>ILM-Aufbewahrungsregeln für Daten in S/4.</w:t>
            </w:r>
          </w:p>
        </w:tc>
        <w:tc>
          <w:tcPr>
            <w:tcW w:w="2862" w:type="dxa"/>
          </w:tcPr>
          <w:p w:rsidR="006E388F" w:rsidRDefault="007E1694">
            <w:pPr>
              <w:pStyle w:val="Standard"/>
            </w:pPr>
            <w:r>
              <w:t>ILMObjectRetentionSet</w:t>
            </w:r>
          </w:p>
        </w:tc>
      </w:tr>
      <w:tr w:rsidR="006E388F" w:rsidTr="007E1694">
        <w:tc>
          <w:tcPr>
            <w:tcW w:w="2860" w:type="dxa"/>
          </w:tcPr>
          <w:p w:rsidR="006E388F" w:rsidRDefault="007E1694">
            <w:pPr>
              <w:pStyle w:val="Standard"/>
            </w:pPr>
            <w:r>
              <w:t>2</w:t>
            </w:r>
          </w:p>
        </w:tc>
        <w:tc>
          <w:tcPr>
            <w:tcW w:w="2860" w:type="dxa"/>
          </w:tcPr>
          <w:p w:rsidR="006E388F" w:rsidRDefault="007E1694">
            <w:pPr>
              <w:pStyle w:val="Standard"/>
            </w:pPr>
            <w:r>
              <w:t>Ermitteln Sie die Liste der Kundenaufträge, die noch nicht unter der geltenden ILM-Aufbewahrungsregel vernichtet wurden.</w:t>
            </w:r>
          </w:p>
        </w:tc>
        <w:tc>
          <w:tcPr>
            <w:tcW w:w="2861" w:type="dxa"/>
          </w:tcPr>
          <w:p w:rsidR="006E388F" w:rsidRDefault="007E1694">
            <w:pPr>
              <w:pStyle w:val="Standard"/>
            </w:pPr>
            <w:r>
              <w:t>Kundenaufträge werden vernichtet, wenn ihr Aufbewahrungszeitraum abl</w:t>
            </w:r>
            <w:r>
              <w:t>äuft.</w:t>
            </w:r>
          </w:p>
        </w:tc>
        <w:tc>
          <w:tcPr>
            <w:tcW w:w="2861" w:type="dxa"/>
          </w:tcPr>
          <w:p w:rsidR="006E388F" w:rsidRDefault="007E1694">
            <w:pPr>
              <w:pStyle w:val="Standard"/>
            </w:pPr>
            <w:r>
              <w:t>Prüfen Sie Kundenaufträge gegen ILM-Aufbewahrungsregeln.</w:t>
            </w:r>
          </w:p>
        </w:tc>
        <w:tc>
          <w:tcPr>
            <w:tcW w:w="2862" w:type="dxa"/>
          </w:tcPr>
          <w:p w:rsidR="006E388F" w:rsidRDefault="007E1694">
            <w:pPr>
              <w:pStyle w:val="Standard"/>
            </w:pPr>
            <w:r>
              <w:t>SalesOrderSet</w:t>
            </w:r>
          </w:p>
        </w:tc>
      </w:tr>
      <w:tr w:rsidR="006E388F" w:rsidTr="007E1694">
        <w:tc>
          <w:tcPr>
            <w:tcW w:w="2860" w:type="dxa"/>
            <w:vMerge w:val="restart"/>
          </w:tcPr>
          <w:p w:rsidR="006E388F" w:rsidRDefault="007E1694">
            <w:pPr>
              <w:pStyle w:val="Standard"/>
            </w:pPr>
            <w:r>
              <w:t>3</w:t>
            </w:r>
          </w:p>
        </w:tc>
        <w:tc>
          <w:tcPr>
            <w:tcW w:w="2860" w:type="dxa"/>
            <w:vMerge w:val="restart"/>
          </w:tcPr>
          <w:p w:rsidR="006E388F" w:rsidRDefault="007E1694">
            <w:pPr>
              <w:pStyle w:val="Standard"/>
            </w:pPr>
            <w:r>
              <w:t>Ermitteln Sie die Liste der HRPA-Datensätze, die nicht korrekt vernichtet werden.</w:t>
            </w:r>
          </w:p>
        </w:tc>
        <w:tc>
          <w:tcPr>
            <w:tcW w:w="2861" w:type="dxa"/>
            <w:vMerge w:val="restart"/>
          </w:tcPr>
          <w:p w:rsidR="006E388F" w:rsidRDefault="007E1694">
            <w:pPr>
              <w:pStyle w:val="Standard"/>
            </w:pPr>
            <w:r>
              <w:t>Die Aufbewahrung von HR-Daten wird auf konforme Weise verwaltet.</w:t>
            </w:r>
          </w:p>
        </w:tc>
        <w:tc>
          <w:tcPr>
            <w:tcW w:w="2861" w:type="dxa"/>
          </w:tcPr>
          <w:p w:rsidR="006E388F" w:rsidRDefault="007E1694">
            <w:pPr>
              <w:pStyle w:val="Standard"/>
            </w:pPr>
            <w:r>
              <w:t xml:space="preserve">Prüfen Sie </w:t>
            </w:r>
            <w:r>
              <w:t>ILM-Aufbewahrungsregeln für S/4-HRPA-Daten.</w:t>
            </w:r>
          </w:p>
        </w:tc>
        <w:tc>
          <w:tcPr>
            <w:tcW w:w="2862" w:type="dxa"/>
            <w:vMerge w:val="restart"/>
          </w:tcPr>
          <w:p w:rsidR="006E388F" w:rsidRDefault="007E1694">
            <w:pPr>
              <w:pStyle w:val="Standard"/>
            </w:pPr>
            <w:r>
              <w:t>InfoTypeSet</w:t>
            </w:r>
          </w:p>
          <w:p w:rsidR="006E388F" w:rsidRDefault="007E1694">
            <w:pPr>
              <w:pStyle w:val="Standard"/>
            </w:pPr>
            <w:r>
              <w:t>HRPaymentDetailSet</w:t>
            </w:r>
          </w:p>
          <w:p w:rsidR="006E388F" w:rsidRDefault="007E1694">
            <w:pPr>
              <w:pStyle w:val="Standard"/>
            </w:pPr>
            <w:r>
              <w:t>HRBasicPaySet</w:t>
            </w:r>
          </w:p>
          <w:p w:rsidR="006E388F" w:rsidRDefault="007E1694">
            <w:pPr>
              <w:pStyle w:val="Standard"/>
            </w:pPr>
            <w:r>
              <w:t>HRChallengeSet</w:t>
            </w:r>
          </w:p>
          <w:p w:rsidR="006E388F" w:rsidRDefault="007E1694">
            <w:pPr>
              <w:pStyle w:val="Standard"/>
            </w:pPr>
            <w:r>
              <w:t>HRAddressSet</w:t>
            </w:r>
          </w:p>
        </w:tc>
      </w:tr>
      <w:tr w:rsidR="006E388F" w:rsidTr="007E1694">
        <w:tc>
          <w:tcPr>
            <w:tcW w:w="2860" w:type="dxa"/>
            <w:vMerge/>
          </w:tcPr>
          <w:p w:rsidR="00000000" w:rsidRDefault="007E1694"/>
        </w:tc>
        <w:tc>
          <w:tcPr>
            <w:tcW w:w="2860" w:type="dxa"/>
            <w:vMerge/>
          </w:tcPr>
          <w:p w:rsidR="00000000" w:rsidRDefault="007E1694"/>
        </w:tc>
        <w:tc>
          <w:tcPr>
            <w:tcW w:w="2861" w:type="dxa"/>
            <w:vMerge/>
          </w:tcPr>
          <w:p w:rsidR="00000000" w:rsidRDefault="007E1694"/>
        </w:tc>
        <w:tc>
          <w:tcPr>
            <w:tcW w:w="2861" w:type="dxa"/>
          </w:tcPr>
          <w:p w:rsidR="006E388F" w:rsidRDefault="007E1694">
            <w:pPr>
              <w:pStyle w:val="Standard"/>
            </w:pPr>
            <w:r>
              <w:t>Prüfen Sie Personaldaten gegen ILM-Aufbewahrungsregeln.</w:t>
            </w:r>
          </w:p>
        </w:tc>
        <w:tc>
          <w:tcPr>
            <w:tcW w:w="2862" w:type="dxa"/>
            <w:vMerge/>
          </w:tcPr>
          <w:p w:rsidR="00000000" w:rsidRDefault="007E1694"/>
        </w:tc>
      </w:tr>
      <w:tr w:rsidR="006E388F" w:rsidTr="007E1694">
        <w:tc>
          <w:tcPr>
            <w:tcW w:w="2860" w:type="dxa"/>
            <w:vMerge/>
          </w:tcPr>
          <w:p w:rsidR="00000000" w:rsidRDefault="007E1694"/>
        </w:tc>
        <w:tc>
          <w:tcPr>
            <w:tcW w:w="2860" w:type="dxa"/>
            <w:vMerge/>
          </w:tcPr>
          <w:p w:rsidR="00000000" w:rsidRDefault="007E1694"/>
        </w:tc>
        <w:tc>
          <w:tcPr>
            <w:tcW w:w="2861" w:type="dxa"/>
            <w:vMerge/>
          </w:tcPr>
          <w:p w:rsidR="00000000" w:rsidRDefault="007E1694"/>
        </w:tc>
        <w:tc>
          <w:tcPr>
            <w:tcW w:w="2861" w:type="dxa"/>
          </w:tcPr>
          <w:p w:rsidR="006E388F" w:rsidRDefault="007E1694">
            <w:pPr>
              <w:pStyle w:val="Standard"/>
            </w:pPr>
            <w:r>
              <w:t xml:space="preserve">Prüfen Sie Personalbasisbezüge gegen </w:t>
            </w:r>
            <w:r>
              <w:t>ILM-Aufbewahrungsregeln.</w:t>
            </w:r>
          </w:p>
        </w:tc>
        <w:tc>
          <w:tcPr>
            <w:tcW w:w="2862" w:type="dxa"/>
            <w:vMerge/>
          </w:tcPr>
          <w:p w:rsidR="00000000" w:rsidRDefault="007E1694"/>
        </w:tc>
      </w:tr>
      <w:tr w:rsidR="006E388F" w:rsidTr="007E1694">
        <w:tc>
          <w:tcPr>
            <w:tcW w:w="2860" w:type="dxa"/>
            <w:vMerge/>
          </w:tcPr>
          <w:p w:rsidR="00000000" w:rsidRDefault="007E1694"/>
        </w:tc>
        <w:tc>
          <w:tcPr>
            <w:tcW w:w="2860" w:type="dxa"/>
            <w:vMerge/>
          </w:tcPr>
          <w:p w:rsidR="00000000" w:rsidRDefault="007E1694"/>
        </w:tc>
        <w:tc>
          <w:tcPr>
            <w:tcW w:w="2861" w:type="dxa"/>
            <w:vMerge/>
          </w:tcPr>
          <w:p w:rsidR="00000000" w:rsidRDefault="007E1694"/>
        </w:tc>
        <w:tc>
          <w:tcPr>
            <w:tcW w:w="2861" w:type="dxa"/>
          </w:tcPr>
          <w:p w:rsidR="006E388F" w:rsidRDefault="007E1694">
            <w:pPr>
              <w:pStyle w:val="Standard"/>
            </w:pPr>
            <w:r>
              <w:t>Prüfen Sie Mitarbeiteradressdaten gegen ILM-Aufbewahrungsregeln.</w:t>
            </w:r>
          </w:p>
        </w:tc>
        <w:tc>
          <w:tcPr>
            <w:tcW w:w="2862" w:type="dxa"/>
            <w:vMerge/>
          </w:tcPr>
          <w:p w:rsidR="00000000" w:rsidRDefault="007E1694"/>
        </w:tc>
      </w:tr>
      <w:tr w:rsidR="006E388F" w:rsidTr="007E1694">
        <w:tc>
          <w:tcPr>
            <w:tcW w:w="2860" w:type="dxa"/>
            <w:vMerge/>
          </w:tcPr>
          <w:p w:rsidR="00000000" w:rsidRDefault="007E1694"/>
        </w:tc>
        <w:tc>
          <w:tcPr>
            <w:tcW w:w="2860" w:type="dxa"/>
            <w:vMerge/>
          </w:tcPr>
          <w:p w:rsidR="00000000" w:rsidRDefault="007E1694"/>
        </w:tc>
        <w:tc>
          <w:tcPr>
            <w:tcW w:w="2861" w:type="dxa"/>
            <w:vMerge/>
          </w:tcPr>
          <w:p w:rsidR="00000000" w:rsidRDefault="007E1694"/>
        </w:tc>
        <w:tc>
          <w:tcPr>
            <w:tcW w:w="2861" w:type="dxa"/>
          </w:tcPr>
          <w:p w:rsidR="006E388F" w:rsidRDefault="007E1694">
            <w:pPr>
              <w:pStyle w:val="Standard"/>
            </w:pPr>
            <w:r>
              <w:t>Prüfen Sie Mitarbeiterzahlungsverbindungsdaten gegen ILM-Aufbewahrungsregeln.</w:t>
            </w:r>
          </w:p>
        </w:tc>
        <w:tc>
          <w:tcPr>
            <w:tcW w:w="2862" w:type="dxa"/>
            <w:vMerge/>
          </w:tcPr>
          <w:p w:rsidR="00000000" w:rsidRDefault="007E1694"/>
        </w:tc>
      </w:tr>
      <w:tr w:rsidR="006E388F" w:rsidTr="007E1694">
        <w:tc>
          <w:tcPr>
            <w:tcW w:w="2860" w:type="dxa"/>
            <w:vMerge w:val="restart"/>
          </w:tcPr>
          <w:p w:rsidR="006E388F" w:rsidRDefault="007E1694">
            <w:pPr>
              <w:pStyle w:val="Standard"/>
            </w:pPr>
            <w:r>
              <w:t>4</w:t>
            </w:r>
          </w:p>
        </w:tc>
        <w:tc>
          <w:tcPr>
            <w:tcW w:w="2860" w:type="dxa"/>
            <w:vMerge w:val="restart"/>
          </w:tcPr>
          <w:p w:rsidR="006E388F" w:rsidRDefault="007E1694">
            <w:pPr>
              <w:pStyle w:val="Standard"/>
            </w:pPr>
            <w:r>
              <w:t>Ermitteln Sie die Liste der Objekte im Vertragskontokorrent, die nicht kor</w:t>
            </w:r>
            <w:r>
              <w:t>rekt vernichtet werden.</w:t>
            </w:r>
          </w:p>
        </w:tc>
        <w:tc>
          <w:tcPr>
            <w:tcW w:w="2861" w:type="dxa"/>
          </w:tcPr>
          <w:p w:rsidR="006E388F" w:rsidRDefault="007E1694">
            <w:pPr>
              <w:pStyle w:val="Standard"/>
            </w:pPr>
            <w:r>
              <w:t>FI-CA-Buchungsbelege werden vernichtet, wenn ihr Aufbewahrungszeitraum abläuft.</w:t>
            </w:r>
          </w:p>
        </w:tc>
        <w:tc>
          <w:tcPr>
            <w:tcW w:w="2861" w:type="dxa"/>
          </w:tcPr>
          <w:p w:rsidR="006E388F" w:rsidRDefault="007E1694">
            <w:pPr>
              <w:pStyle w:val="Standard"/>
            </w:pPr>
            <w:r>
              <w:t>Prüfen Sie FI-CA-Belege gegen ILM-Aufbewahrungsregeln.</w:t>
            </w:r>
          </w:p>
        </w:tc>
        <w:tc>
          <w:tcPr>
            <w:tcW w:w="2862" w:type="dxa"/>
          </w:tcPr>
          <w:p w:rsidR="006E388F" w:rsidRDefault="007E1694">
            <w:pPr>
              <w:pStyle w:val="Standard"/>
            </w:pPr>
            <w:r>
              <w:t>FICADocumentSet</w:t>
            </w:r>
          </w:p>
        </w:tc>
      </w:tr>
      <w:tr w:rsidR="006E388F" w:rsidTr="007E1694">
        <w:tc>
          <w:tcPr>
            <w:tcW w:w="2860" w:type="dxa"/>
            <w:vMerge/>
          </w:tcPr>
          <w:p w:rsidR="00000000" w:rsidRDefault="007E1694"/>
        </w:tc>
        <w:tc>
          <w:tcPr>
            <w:tcW w:w="2860" w:type="dxa"/>
            <w:vMerge/>
          </w:tcPr>
          <w:p w:rsidR="00000000" w:rsidRDefault="007E1694"/>
        </w:tc>
        <w:tc>
          <w:tcPr>
            <w:tcW w:w="2861" w:type="dxa"/>
          </w:tcPr>
          <w:p w:rsidR="006E388F" w:rsidRDefault="007E1694">
            <w:pPr>
              <w:pStyle w:val="Standard"/>
            </w:pPr>
            <w:r>
              <w:t xml:space="preserve">FI-CA-Zahlungsdaten aus Zahlläufen werden vernichtet, wenn ihr </w:t>
            </w:r>
            <w:r>
              <w:t>Aufbewahrungszeitraum abläuft.</w:t>
            </w:r>
          </w:p>
        </w:tc>
        <w:tc>
          <w:tcPr>
            <w:tcW w:w="2861" w:type="dxa"/>
          </w:tcPr>
          <w:p w:rsidR="006E388F" w:rsidRDefault="007E1694">
            <w:pPr>
              <w:pStyle w:val="Standard"/>
            </w:pPr>
            <w:r>
              <w:t>Prüfen Sie FI-CA-Zahlungsdaten aus Zahlläufen gegen ILM-Aufbewahrungsregeln.</w:t>
            </w:r>
          </w:p>
        </w:tc>
        <w:tc>
          <w:tcPr>
            <w:tcW w:w="2862" w:type="dxa"/>
          </w:tcPr>
          <w:p w:rsidR="006E388F" w:rsidRDefault="007E1694">
            <w:pPr>
              <w:pStyle w:val="Standard"/>
            </w:pPr>
            <w:r>
              <w:t>FICAPaymentSet</w:t>
            </w:r>
          </w:p>
        </w:tc>
      </w:tr>
      <w:tr w:rsidR="006E388F" w:rsidTr="007E1694">
        <w:tc>
          <w:tcPr>
            <w:tcW w:w="2860" w:type="dxa"/>
            <w:vMerge/>
          </w:tcPr>
          <w:p w:rsidR="00000000" w:rsidRDefault="007E1694"/>
        </w:tc>
        <w:tc>
          <w:tcPr>
            <w:tcW w:w="2860" w:type="dxa"/>
            <w:vMerge/>
          </w:tcPr>
          <w:p w:rsidR="00000000" w:rsidRDefault="007E1694"/>
        </w:tc>
        <w:tc>
          <w:tcPr>
            <w:tcW w:w="2861" w:type="dxa"/>
          </w:tcPr>
          <w:p w:rsidR="006E388F" w:rsidRDefault="007E1694">
            <w:pPr>
              <w:pStyle w:val="Standard"/>
            </w:pPr>
            <w:r>
              <w:t>FI-CA-Vertragskonten werden vernichtet, wenn ihr Aufbewahrungszeitraum abläuft.</w:t>
            </w:r>
          </w:p>
        </w:tc>
        <w:tc>
          <w:tcPr>
            <w:tcW w:w="2861" w:type="dxa"/>
          </w:tcPr>
          <w:p w:rsidR="006E388F" w:rsidRDefault="007E1694">
            <w:pPr>
              <w:pStyle w:val="Standard"/>
            </w:pPr>
            <w:r>
              <w:t xml:space="preserve">Prüfen Sie </w:t>
            </w:r>
            <w:r>
              <w:t>FI-CA-Vertragskonten gegen ILM-Aufbewahrungsregeln.</w:t>
            </w:r>
          </w:p>
        </w:tc>
        <w:tc>
          <w:tcPr>
            <w:tcW w:w="2862" w:type="dxa"/>
          </w:tcPr>
          <w:p w:rsidR="006E388F" w:rsidRDefault="007E1694">
            <w:pPr>
              <w:pStyle w:val="Standard"/>
            </w:pPr>
            <w:r>
              <w:t>FICAContractAccountSet</w:t>
            </w:r>
          </w:p>
        </w:tc>
      </w:tr>
      <w:tr w:rsidR="006E388F" w:rsidTr="007E1694">
        <w:tc>
          <w:tcPr>
            <w:tcW w:w="2860" w:type="dxa"/>
          </w:tcPr>
          <w:p w:rsidR="006E388F" w:rsidRDefault="007E1694">
            <w:pPr>
              <w:pStyle w:val="Standard"/>
            </w:pPr>
            <w:r>
              <w:t>5</w:t>
            </w:r>
          </w:p>
        </w:tc>
        <w:tc>
          <w:tcPr>
            <w:tcW w:w="2860" w:type="dxa"/>
          </w:tcPr>
          <w:p w:rsidR="006E388F" w:rsidRDefault="007E1694">
            <w:pPr>
              <w:pStyle w:val="Standard"/>
            </w:pPr>
            <w:r>
              <w:t>Ermitteln Sie die Liste der gesperrten Geschäftspartner, die nicht korrekt vernichtet wurden.</w:t>
            </w:r>
          </w:p>
        </w:tc>
        <w:tc>
          <w:tcPr>
            <w:tcW w:w="2861" w:type="dxa"/>
          </w:tcPr>
          <w:p w:rsidR="006E388F" w:rsidRDefault="007E1694">
            <w:pPr>
              <w:pStyle w:val="Standard"/>
            </w:pPr>
            <w:r>
              <w:t xml:space="preserve">Datensätze gesperrter Geschäftspartner werden vernichtet, wenn ihre </w:t>
            </w:r>
            <w:r>
              <w:t>Aufbewahrung abläuft.</w:t>
            </w:r>
          </w:p>
        </w:tc>
        <w:tc>
          <w:tcPr>
            <w:tcW w:w="2861" w:type="dxa"/>
          </w:tcPr>
          <w:p w:rsidR="006E388F" w:rsidRDefault="007E1694">
            <w:pPr>
              <w:pStyle w:val="Standard"/>
            </w:pPr>
            <w:r>
              <w:t>Prüfen Sie gesperrte und vernichtbare Geschäftspartner gegen ILM-Aufbewahrungsregeln.</w:t>
            </w:r>
          </w:p>
        </w:tc>
        <w:tc>
          <w:tcPr>
            <w:tcW w:w="2862" w:type="dxa"/>
          </w:tcPr>
          <w:p w:rsidR="006E388F" w:rsidRDefault="007E1694">
            <w:pPr>
              <w:pStyle w:val="Standard"/>
            </w:pPr>
            <w:r>
              <w:t>BlockedBPSet</w:t>
            </w:r>
          </w:p>
        </w:tc>
      </w:tr>
      <w:tr w:rsidR="006E388F" w:rsidTr="007E1694">
        <w:tc>
          <w:tcPr>
            <w:tcW w:w="2860" w:type="dxa"/>
          </w:tcPr>
          <w:p w:rsidR="006E388F" w:rsidRDefault="007E1694">
            <w:pPr>
              <w:pStyle w:val="Standard"/>
            </w:pPr>
            <w:r>
              <w:t>6</w:t>
            </w:r>
          </w:p>
        </w:tc>
        <w:tc>
          <w:tcPr>
            <w:tcW w:w="2860" w:type="dxa"/>
          </w:tcPr>
          <w:p w:rsidR="006E388F" w:rsidRDefault="007E1694">
            <w:pPr>
              <w:pStyle w:val="Standard"/>
            </w:pPr>
            <w:r>
              <w:t>Ermitteln Sie die Liste der Geschäftspartnerdatensätze früherer Mitarbeiter, die nicht korrekt gesperrt sind.</w:t>
            </w:r>
          </w:p>
        </w:tc>
        <w:tc>
          <w:tcPr>
            <w:tcW w:w="2861" w:type="dxa"/>
          </w:tcPr>
          <w:p w:rsidR="006E388F" w:rsidRDefault="007E1694">
            <w:pPr>
              <w:pStyle w:val="Standard"/>
            </w:pPr>
            <w:r>
              <w:t>Geschäftspartnerdatens</w:t>
            </w:r>
            <w:r>
              <w:t>ätze von Mitarbeitern, die das Unternehmen verlassen haben, sollten gesperrt werden.</w:t>
            </w:r>
          </w:p>
        </w:tc>
        <w:tc>
          <w:tcPr>
            <w:tcW w:w="2861" w:type="dxa"/>
          </w:tcPr>
          <w:p w:rsidR="006E388F" w:rsidRDefault="007E1694">
            <w:pPr>
              <w:pStyle w:val="Standard"/>
            </w:pPr>
            <w:r>
              <w:t>Prüfen Sie, ob die Geschäftspartnerdatensätze der Mitarbeiter, die das Unternehmen verlassen haben, gesperrt sind.</w:t>
            </w:r>
          </w:p>
        </w:tc>
        <w:tc>
          <w:tcPr>
            <w:tcW w:w="2862" w:type="dxa"/>
          </w:tcPr>
          <w:p w:rsidR="006E388F" w:rsidRDefault="007E1694">
            <w:pPr>
              <w:pStyle w:val="Standard"/>
            </w:pPr>
            <w:r>
              <w:t>EmployeeLeftNotBlockedBPSet</w:t>
            </w:r>
          </w:p>
        </w:tc>
      </w:tr>
    </w:tbl>
    <w:p w:rsidR="006E388F" w:rsidRDefault="007E1694">
      <w:pPr>
        <w:pStyle w:val="Standard"/>
      </w:pPr>
      <w:r>
        <w:t>Nachfolgend werden Aktionen</w:t>
      </w:r>
      <w:r>
        <w:t xml:space="preserve"> zur Vermeidung von Risiken nach dem automatisierten Prozedurlauf als Referenz vorgeschlagen.</w:t>
      </w:r>
    </w:p>
    <w:tbl>
      <w:tblPr>
        <w:tblStyle w:val="SAPStandardTable"/>
        <w:tblW w:w="14304" w:type="dxa"/>
        <w:tblInd w:w="0" w:type="dxa"/>
        <w:tblLayout w:type="fixed"/>
        <w:tblLook w:val="0620" w:firstRow="1" w:lastRow="0" w:firstColumn="0" w:lastColumn="0" w:noHBand="1" w:noVBand="1"/>
      </w:tblPr>
      <w:tblGrid>
        <w:gridCol w:w="3576"/>
        <w:gridCol w:w="3576"/>
        <w:gridCol w:w="3576"/>
        <w:gridCol w:w="3576"/>
      </w:tblGrid>
      <w:tr w:rsidR="006E388F" w:rsidTr="007E1694">
        <w:trPr>
          <w:cnfStyle w:val="100000000000" w:firstRow="1" w:lastRow="0" w:firstColumn="0" w:lastColumn="0" w:oddVBand="0" w:evenVBand="0" w:oddHBand="0" w:evenHBand="0" w:firstRowFirstColumn="0" w:firstRowLastColumn="0" w:lastRowFirstColumn="0" w:lastRowLastColumn="0"/>
        </w:trPr>
        <w:tc>
          <w:tcPr>
            <w:tcW w:w="3576" w:type="dxa"/>
          </w:tcPr>
          <w:p w:rsidR="006E388F" w:rsidRDefault="007E1694">
            <w:pPr>
              <w:pStyle w:val="SAPTableHeader"/>
            </w:pPr>
            <w:r>
              <w:t>Ergebnis des AP-Laufs</w:t>
            </w:r>
          </w:p>
        </w:tc>
        <w:tc>
          <w:tcPr>
            <w:tcW w:w="3576" w:type="dxa"/>
          </w:tcPr>
          <w:p w:rsidR="006E388F" w:rsidRDefault="007E1694">
            <w:pPr>
              <w:pStyle w:val="SAPTableHeader"/>
            </w:pPr>
            <w:r>
              <w:t>Fehlerursache</w:t>
            </w:r>
          </w:p>
        </w:tc>
        <w:tc>
          <w:tcPr>
            <w:tcW w:w="3576" w:type="dxa"/>
          </w:tcPr>
          <w:p w:rsidR="006E388F" w:rsidRDefault="007E1694">
            <w:pPr>
              <w:pStyle w:val="SAPTableHeader"/>
            </w:pPr>
            <w:r>
              <w:t>Erläuterung des Ergebnises</w:t>
            </w:r>
          </w:p>
        </w:tc>
        <w:tc>
          <w:tcPr>
            <w:tcW w:w="3576" w:type="dxa"/>
          </w:tcPr>
          <w:p w:rsidR="006E388F" w:rsidRDefault="007E1694">
            <w:pPr>
              <w:pStyle w:val="SAPTableHeader"/>
            </w:pPr>
            <w:r>
              <w:t>Vorgeschlagene Aktion</w:t>
            </w:r>
          </w:p>
        </w:tc>
      </w:tr>
      <w:tr w:rsidR="006E388F" w:rsidTr="007E1694">
        <w:tc>
          <w:tcPr>
            <w:tcW w:w="3576" w:type="dxa"/>
          </w:tcPr>
          <w:p w:rsidR="006E388F" w:rsidRDefault="007E1694">
            <w:pPr>
              <w:pStyle w:val="Standard"/>
            </w:pPr>
            <w:r>
              <w:t>Keine fehlgeschlagene Position</w:t>
            </w:r>
          </w:p>
        </w:tc>
        <w:tc>
          <w:tcPr>
            <w:tcW w:w="3576" w:type="dxa"/>
          </w:tcPr>
          <w:p w:rsidR="006E388F" w:rsidRDefault="007E1694">
            <w:pPr>
              <w:pStyle w:val="Standard"/>
            </w:pPr>
            <w:r>
              <w:t>Keine</w:t>
            </w:r>
          </w:p>
        </w:tc>
        <w:tc>
          <w:tcPr>
            <w:tcW w:w="3576" w:type="dxa"/>
          </w:tcPr>
          <w:p w:rsidR="006E388F" w:rsidRDefault="007E1694">
            <w:pPr>
              <w:pStyle w:val="Standard"/>
            </w:pPr>
            <w:r>
              <w:t>Kein Risiko</w:t>
            </w:r>
          </w:p>
        </w:tc>
        <w:tc>
          <w:tcPr>
            <w:tcW w:w="3576" w:type="dxa"/>
          </w:tcPr>
          <w:p w:rsidR="006E388F" w:rsidRDefault="007E1694">
            <w:pPr>
              <w:pStyle w:val="Standard"/>
            </w:pPr>
            <w:r>
              <w:t>Keine</w:t>
            </w:r>
          </w:p>
        </w:tc>
      </w:tr>
      <w:tr w:rsidR="006E388F" w:rsidTr="007E1694">
        <w:tc>
          <w:tcPr>
            <w:tcW w:w="3576" w:type="dxa"/>
            <w:vMerge w:val="restart"/>
          </w:tcPr>
          <w:p w:rsidR="006E388F" w:rsidRDefault="007E1694">
            <w:pPr>
              <w:pStyle w:val="Standard"/>
            </w:pPr>
            <w:r>
              <w:t>Fehlerhafte Positionen vorhanden</w:t>
            </w:r>
          </w:p>
        </w:tc>
        <w:tc>
          <w:tcPr>
            <w:tcW w:w="3576" w:type="dxa"/>
          </w:tcPr>
          <w:p w:rsidR="006E388F" w:rsidRDefault="007E1694">
            <w:pPr>
              <w:pStyle w:val="Standard"/>
            </w:pPr>
            <w:r>
              <w:t>Objekt ist nicht dem Prüfgebiet zugeordnet</w:t>
            </w:r>
          </w:p>
        </w:tc>
        <w:tc>
          <w:tcPr>
            <w:tcW w:w="3576" w:type="dxa"/>
          </w:tcPr>
          <w:p w:rsidR="006E388F" w:rsidRDefault="007E1694">
            <w:pPr>
              <w:pStyle w:val="Standard"/>
            </w:pPr>
            <w:r>
              <w:t>Prüfgebiet und ILM-Objekt sind nicht korrekt gepflegt.</w:t>
            </w:r>
          </w:p>
        </w:tc>
        <w:tc>
          <w:tcPr>
            <w:tcW w:w="3576" w:type="dxa"/>
          </w:tcPr>
          <w:p w:rsidR="006E388F" w:rsidRDefault="007E1694">
            <w:pPr>
              <w:pStyle w:val="Standard"/>
            </w:pPr>
            <w:r>
              <w:t>Schließen Sie die Zuordnung des ILM-Objekts zu einem geeigneten Prüfgebiet ab. Verwenden Sie den Umfangsbestandteil 1KA und d</w:t>
            </w:r>
            <w:r>
              <w:t>as Objekt im fehlgeschlagenen Element.</w:t>
            </w:r>
          </w:p>
        </w:tc>
      </w:tr>
      <w:tr w:rsidR="006E388F" w:rsidTr="007E1694">
        <w:tc>
          <w:tcPr>
            <w:tcW w:w="3576" w:type="dxa"/>
            <w:vMerge/>
          </w:tcPr>
          <w:p w:rsidR="00000000" w:rsidRDefault="007E1694"/>
        </w:tc>
        <w:tc>
          <w:tcPr>
            <w:tcW w:w="3576" w:type="dxa"/>
          </w:tcPr>
          <w:p w:rsidR="006E388F" w:rsidRDefault="007E1694">
            <w:pPr>
              <w:pStyle w:val="Standard"/>
            </w:pPr>
            <w:r>
              <w:t>Kein produktives Regelwerk für das Objekt in diesem Prüfgebiet</w:t>
            </w:r>
          </w:p>
          <w:p w:rsidR="006E388F" w:rsidRDefault="007E1694">
            <w:pPr>
              <w:pStyle w:val="Standard"/>
            </w:pPr>
            <w:r>
              <w:t>Für das Prüfgebiet {Prüfgebietsname} des ILM-Objekts {Objektname} wurde kein Regelwerk gefunden.</w:t>
            </w:r>
          </w:p>
        </w:tc>
        <w:tc>
          <w:tcPr>
            <w:tcW w:w="3576" w:type="dxa"/>
          </w:tcPr>
          <w:p w:rsidR="006E388F" w:rsidRDefault="007E1694">
            <w:pPr>
              <w:pStyle w:val="Standard"/>
            </w:pPr>
            <w:r>
              <w:t xml:space="preserve">Das ILM-Regelwerk ist nicht gepflegt oder auf </w:t>
            </w:r>
            <w:r>
              <w:t>produktiv gesetzt.</w:t>
            </w:r>
          </w:p>
        </w:tc>
        <w:tc>
          <w:tcPr>
            <w:tcW w:w="3576" w:type="dxa"/>
          </w:tcPr>
          <w:p w:rsidR="006E388F" w:rsidRDefault="007E1694">
            <w:pPr>
              <w:pStyle w:val="Standard"/>
            </w:pPr>
            <w:r>
              <w:t>Pflegen Sie das produktive ILM-Regelwerk für das entsprechende Objekt. Siehe Umfangsbestandteil 1KA.</w:t>
            </w:r>
          </w:p>
        </w:tc>
      </w:tr>
      <w:tr w:rsidR="006E388F" w:rsidTr="007E1694">
        <w:tc>
          <w:tcPr>
            <w:tcW w:w="3576" w:type="dxa"/>
            <w:vMerge/>
          </w:tcPr>
          <w:p w:rsidR="00000000" w:rsidRDefault="007E1694"/>
        </w:tc>
        <w:tc>
          <w:tcPr>
            <w:tcW w:w="3576" w:type="dxa"/>
          </w:tcPr>
          <w:p w:rsidR="006E388F" w:rsidRDefault="007E1694">
            <w:pPr>
              <w:pStyle w:val="Standard"/>
            </w:pPr>
            <w:r>
              <w:t>Keine Regeln für Regelwerk {POLICY_NAME} gepflegt</w:t>
            </w:r>
          </w:p>
        </w:tc>
        <w:tc>
          <w:tcPr>
            <w:tcW w:w="3576" w:type="dxa"/>
          </w:tcPr>
          <w:p w:rsidR="006E388F" w:rsidRDefault="007E1694">
            <w:pPr>
              <w:pStyle w:val="Standard"/>
            </w:pPr>
            <w:r>
              <w:t>Die Aufbewahrungsregel ist im ILM-Regelwerk nicht gepflegt.</w:t>
            </w:r>
          </w:p>
        </w:tc>
        <w:tc>
          <w:tcPr>
            <w:tcW w:w="3576" w:type="dxa"/>
          </w:tcPr>
          <w:p w:rsidR="006E388F" w:rsidRDefault="007E1694">
            <w:pPr>
              <w:pStyle w:val="Standard"/>
            </w:pPr>
            <w:r>
              <w:t>Pflegen Sie die Aufbewah</w:t>
            </w:r>
            <w:r>
              <w:t>rungsregeln für das relevante ILM-Regelwerk. Siehe Umfangsbestandteil 1KA.</w:t>
            </w:r>
          </w:p>
        </w:tc>
      </w:tr>
      <w:tr w:rsidR="006E388F" w:rsidTr="007E1694">
        <w:tc>
          <w:tcPr>
            <w:tcW w:w="3576" w:type="dxa"/>
            <w:vMerge/>
          </w:tcPr>
          <w:p w:rsidR="00000000" w:rsidRDefault="007E1694"/>
        </w:tc>
        <w:tc>
          <w:tcPr>
            <w:tcW w:w="3576" w:type="dxa"/>
          </w:tcPr>
          <w:p w:rsidR="006E388F" w:rsidRDefault="007E1694">
            <w:pPr>
              <w:pStyle w:val="Standard"/>
            </w:pPr>
            <w:r>
              <w:t>Keine Aufbewahrungsregeln gesetzt</w:t>
            </w:r>
          </w:p>
        </w:tc>
        <w:tc>
          <w:tcPr>
            <w:tcW w:w="3576" w:type="dxa"/>
          </w:tcPr>
          <w:p w:rsidR="006E388F" w:rsidRDefault="007E1694">
            <w:pPr>
              <w:pStyle w:val="Standard"/>
            </w:pPr>
            <w:r>
              <w:t>Es ist keine effektive Aufbewahrungsregel für den spezifischen Kundenauftrag vorhanden.</w:t>
            </w:r>
          </w:p>
        </w:tc>
        <w:tc>
          <w:tcPr>
            <w:tcW w:w="3576" w:type="dxa"/>
          </w:tcPr>
          <w:p w:rsidR="006E388F" w:rsidRDefault="007E1694">
            <w:pPr>
              <w:pStyle w:val="Standard"/>
            </w:pPr>
            <w:r>
              <w:t>Wenden Sie sich an den ILM-Administrator, um zu prüfen, o</w:t>
            </w:r>
            <w:r>
              <w:t>b die Aufbewahrungsregel richtig gesetzt ist.</w:t>
            </w:r>
          </w:p>
        </w:tc>
      </w:tr>
      <w:tr w:rsidR="006E388F" w:rsidTr="007E1694">
        <w:tc>
          <w:tcPr>
            <w:tcW w:w="3576" w:type="dxa"/>
            <w:vMerge/>
          </w:tcPr>
          <w:p w:rsidR="00000000" w:rsidRDefault="007E1694"/>
        </w:tc>
        <w:tc>
          <w:tcPr>
            <w:tcW w:w="3576" w:type="dxa"/>
          </w:tcPr>
          <w:p w:rsidR="006E388F" w:rsidRDefault="007E1694">
            <w:pPr>
              <w:pStyle w:val="Standard"/>
            </w:pPr>
            <w:r>
              <w:t>Der minimale Aufbewahrungszeitraum ist abgelaufen. Vernichten Sie die Daten.</w:t>
            </w:r>
          </w:p>
        </w:tc>
        <w:tc>
          <w:tcPr>
            <w:tcW w:w="3576" w:type="dxa"/>
          </w:tcPr>
          <w:p w:rsidR="006E388F" w:rsidRDefault="007E1694">
            <w:pPr>
              <w:pStyle w:val="Standard"/>
            </w:pPr>
            <w:r>
              <w:t>Kundenaufträge und Bestellungen werden bis heute nicht ordnungsgemäß vernichtet.</w:t>
            </w:r>
          </w:p>
        </w:tc>
        <w:tc>
          <w:tcPr>
            <w:tcW w:w="3576" w:type="dxa"/>
          </w:tcPr>
          <w:p w:rsidR="006E388F" w:rsidRDefault="007E1694">
            <w:pPr>
              <w:pStyle w:val="Standard"/>
            </w:pPr>
            <w:r>
              <w:t>a. Wenden Sie sich an den ILM-Administrator, um zu</w:t>
            </w:r>
            <w:r>
              <w:t xml:space="preserve"> prüfen, ob der Vernichtungsjob erfolgreich ausgeführt wurde.</w:t>
            </w:r>
          </w:p>
          <w:p w:rsidR="006E388F" w:rsidRDefault="007E1694">
            <w:pPr>
              <w:pStyle w:val="Standard"/>
            </w:pPr>
            <w:r>
              <w:t xml:space="preserve">b. Wenden Sie sich an den zuständigen Ansprechpartner des fehlgeschlagenen Belegs, um zu prüfen, ob ein betriebswirtschaftlicher Grund vorliegt, der verhindert, dass die Aufbewahrungsregeln den </w:t>
            </w:r>
            <w:r>
              <w:t>Beleg vernichten.</w:t>
            </w:r>
          </w:p>
        </w:tc>
      </w:tr>
      <w:tr w:rsidR="006E388F" w:rsidTr="007E1694">
        <w:tc>
          <w:tcPr>
            <w:tcW w:w="3576" w:type="dxa"/>
            <w:vMerge/>
          </w:tcPr>
          <w:p w:rsidR="00000000" w:rsidRDefault="007E1694"/>
        </w:tc>
        <w:tc>
          <w:tcPr>
            <w:tcW w:w="3576" w:type="dxa"/>
          </w:tcPr>
          <w:p w:rsidR="006E388F" w:rsidRDefault="007E1694">
            <w:pPr>
              <w:pStyle w:val="Standard"/>
            </w:pPr>
            <w:r>
              <w:t>Der minimale Aufbewahrungszeitraum endet vor dem eingegebenem Ende der Mindestaufbewahrung. Bitte vernichten Sie die Daten vor diesem Datum.</w:t>
            </w:r>
          </w:p>
        </w:tc>
        <w:tc>
          <w:tcPr>
            <w:tcW w:w="3576" w:type="dxa"/>
          </w:tcPr>
          <w:p w:rsidR="006E388F" w:rsidRDefault="007E1694">
            <w:pPr>
              <w:pStyle w:val="Standard"/>
            </w:pPr>
            <w:r>
              <w:t xml:space="preserve">Die aufgelisteten Kundenaufträge/Bestellungen sollten vor dem angegebenen Datum </w:t>
            </w:r>
            <w:r>
              <w:t>ordnungsgemäß vernichtet werden.</w:t>
            </w:r>
          </w:p>
        </w:tc>
        <w:tc>
          <w:tcPr>
            <w:tcW w:w="3576" w:type="dxa"/>
          </w:tcPr>
          <w:p w:rsidR="006E388F" w:rsidRDefault="007E1694">
            <w:pPr>
              <w:pStyle w:val="Standard"/>
            </w:pPr>
            <w:r>
              <w:t>Bereiten Sie die Vernichtung der aufgelisteten Aufträge vor dem Enddatum vor.</w:t>
            </w:r>
          </w:p>
        </w:tc>
      </w:tr>
      <w:tr w:rsidR="006E388F" w:rsidTr="007E1694">
        <w:tc>
          <w:tcPr>
            <w:tcW w:w="3576" w:type="dxa"/>
          </w:tcPr>
          <w:p w:rsidR="006E388F" w:rsidRDefault="007E1694">
            <w:pPr>
              <w:pStyle w:val="Standard"/>
            </w:pPr>
            <w:r>
              <w:t>Fehlgeschlagene Positionen der HR-Daten vorhanden</w:t>
            </w:r>
          </w:p>
        </w:tc>
        <w:tc>
          <w:tcPr>
            <w:tcW w:w="3576" w:type="dxa"/>
          </w:tcPr>
          <w:p w:rsidR="006E388F" w:rsidRDefault="007E1694">
            <w:pPr>
              <w:pStyle w:val="Standard"/>
            </w:pPr>
            <w:r>
              <w:t>Keine</w:t>
            </w:r>
          </w:p>
        </w:tc>
        <w:tc>
          <w:tcPr>
            <w:tcW w:w="3576" w:type="dxa"/>
          </w:tcPr>
          <w:p w:rsidR="006E388F" w:rsidRDefault="007E1694">
            <w:pPr>
              <w:pStyle w:val="Standard"/>
            </w:pPr>
            <w:r>
              <w:t>Personaldaten werden nicht korrekt vernichtet.</w:t>
            </w:r>
          </w:p>
        </w:tc>
        <w:tc>
          <w:tcPr>
            <w:tcW w:w="3576" w:type="dxa"/>
          </w:tcPr>
          <w:p w:rsidR="006E388F" w:rsidRDefault="007E1694">
            <w:pPr>
              <w:pStyle w:val="Standard"/>
            </w:pPr>
            <w:r>
              <w:t xml:space="preserve">a. Wenden Sie sich an den </w:t>
            </w:r>
            <w:r>
              <w:t>ILM-Administrator, um zu prüfen, ob der Vernichtungsjob erfolgreich ausgeführt wurde.</w:t>
            </w:r>
          </w:p>
          <w:p w:rsidR="006E388F" w:rsidRDefault="007E1694">
            <w:pPr>
              <w:pStyle w:val="Standard"/>
            </w:pPr>
            <w:r>
              <w:t>b. Wenden Sie sich an die Personalabteilung, um die Details zu überprüfen.</w:t>
            </w:r>
          </w:p>
        </w:tc>
      </w:tr>
    </w:tbl>
    <w:p w:rsidR="006E388F" w:rsidRDefault="007E1694">
      <w:pPr>
        <w:pStyle w:val="Heading1"/>
      </w:pPr>
      <w:bookmarkStart w:id="6" w:name="unique_3"/>
      <w:bookmarkStart w:id="7" w:name="_Toc52287631"/>
      <w:r>
        <w:t>Voraussetzungen</w:t>
      </w:r>
      <w:bookmarkEnd w:id="6"/>
      <w:bookmarkEnd w:id="7"/>
    </w:p>
    <w:p w:rsidR="006E388F" w:rsidRDefault="007E1694">
      <w:pPr>
        <w:pStyle w:val="Standard"/>
      </w:pPr>
      <w:r>
        <w:t>In diesem Abschnitt sind alle Voraussetzungen für den Test hinsichtlich System</w:t>
      </w:r>
      <w:r>
        <w:t>, Benutzer, Stammdaten, Organisationsdaten, sonstige Testdaten und Voraussetzungen zusammengefasst.</w:t>
      </w:r>
    </w:p>
    <w:p w:rsidR="006E388F" w:rsidRDefault="007E1694">
      <w:pPr>
        <w:pStyle w:val="Heading2"/>
      </w:pPr>
      <w:bookmarkStart w:id="8" w:name="unique_4"/>
      <w:bookmarkStart w:id="9" w:name="_Toc52287632"/>
      <w:r>
        <w:t>Zusätzliche manuelle Konfiguration</w:t>
      </w:r>
      <w:bookmarkEnd w:id="8"/>
      <w:bookmarkEnd w:id="9"/>
    </w:p>
    <w:p w:rsidR="006E388F" w:rsidRDefault="007E1694">
      <w:pPr>
        <w:pStyle w:val="Standard"/>
      </w:pPr>
      <w:r>
        <w:t>Bevor Sie diesen Umfangsbestandteil testen können, müssen Sie die zusätzlichen Konfigurationsschritte abgeschlossen haben</w:t>
      </w:r>
      <w:r>
        <w:t xml:space="preserve">, die in der </w:t>
      </w:r>
      <w:r>
        <w:rPr>
          <w:i/>
          <w:iCs/>
        </w:rPr>
        <w:t>Einrichtungsanleitung</w:t>
      </w:r>
      <w:r>
        <w:t xml:space="preserve"> für diesen Umfangsbestandteil beschrieben werden. Diese Konfigurationsschritte sind spezifisch für Ihre Implementierung und enthalten obligatorische Einstellungen, die nicht von SAP ausgeliefert werden und von Ihnen angel</w:t>
      </w:r>
      <w:r>
        <w:t xml:space="preserve">egt werden müssen. Weitere Informationen finden Sie in der Anleitung zum Einrichten dieses Umfangsbestandteils im </w:t>
      </w:r>
      <w:hyperlink r:id="rId8" w:history="1">
        <w:r>
          <w:rPr>
            <w:rStyle w:val="underline"/>
          </w:rPr>
          <w:t>SAP Best Practices Explorer</w:t>
        </w:r>
      </w:hyperlink>
      <w:r>
        <w:t xml:space="preserve"> (https://rapid.sap.com/bp/#/browse/scopeitems/&lt;enter the scope item ID&gt;)</w:t>
      </w:r>
      <w:r>
        <w:t>.</w:t>
      </w:r>
    </w:p>
    <w:p w:rsidR="006E388F" w:rsidRDefault="007E1694">
      <w:pPr>
        <w:pStyle w:val="Heading2"/>
      </w:pPr>
      <w:bookmarkStart w:id="10" w:name="unique_5"/>
      <w:bookmarkStart w:id="11" w:name="_Toc52287633"/>
      <w:r>
        <w:t>Systemzugriff</w:t>
      </w:r>
      <w:bookmarkEnd w:id="10"/>
      <w:bookmarkEnd w:id="11"/>
    </w:p>
    <w:p w:rsidR="006E388F" w:rsidRDefault="007E1694">
      <w:pPr>
        <w:pStyle w:val="Standard"/>
      </w:pPr>
      <w:r>
        <w:t>Bevor dieser Umfangsbestandteil getestet werden kann, müssen Sie auf das SAP-Privacy-Governance-System (SPG) zugreifen und den Onboarding-Prozess von SPG abschließen.</w:t>
      </w:r>
    </w:p>
    <w:tbl>
      <w:tblPr>
        <w:tblStyle w:val="SAPStandardTable"/>
        <w:tblW w:w="14304" w:type="dxa"/>
        <w:tblInd w:w="0" w:type="dxa"/>
        <w:tblLayout w:type="fixed"/>
        <w:tblLook w:val="0620" w:firstRow="1" w:lastRow="0" w:firstColumn="0" w:lastColumn="0" w:noHBand="1" w:noVBand="1"/>
      </w:tblPr>
      <w:tblGrid>
        <w:gridCol w:w="7152"/>
        <w:gridCol w:w="7152"/>
      </w:tblGrid>
      <w:tr w:rsidR="006E388F" w:rsidTr="007E1694">
        <w:trPr>
          <w:cnfStyle w:val="100000000000" w:firstRow="1" w:lastRow="0" w:firstColumn="0" w:lastColumn="0" w:oddVBand="0" w:evenVBand="0" w:oddHBand="0" w:evenHBand="0" w:firstRowFirstColumn="0" w:firstRowLastColumn="0" w:lastRowFirstColumn="0" w:lastRowLastColumn="0"/>
        </w:trPr>
        <w:tc>
          <w:tcPr>
            <w:tcW w:w="7152" w:type="dxa"/>
          </w:tcPr>
          <w:p w:rsidR="006E388F" w:rsidRDefault="007E1694">
            <w:pPr>
              <w:pStyle w:val="SAPTableHeader"/>
            </w:pPr>
            <w:r>
              <w:t>System</w:t>
            </w:r>
          </w:p>
        </w:tc>
        <w:tc>
          <w:tcPr>
            <w:tcW w:w="7152" w:type="dxa"/>
          </w:tcPr>
          <w:p w:rsidR="006E388F" w:rsidRDefault="007E1694">
            <w:pPr>
              <w:pStyle w:val="SAPTableHeader"/>
            </w:pPr>
            <w:r>
              <w:t>Details</w:t>
            </w:r>
          </w:p>
        </w:tc>
      </w:tr>
      <w:tr w:rsidR="006E388F" w:rsidTr="007E1694">
        <w:tc>
          <w:tcPr>
            <w:tcW w:w="7152" w:type="dxa"/>
          </w:tcPr>
          <w:p w:rsidR="006E388F" w:rsidRDefault="007E1694">
            <w:pPr>
              <w:pStyle w:val="Standard"/>
            </w:pPr>
            <w:r>
              <w:t>SAP Privacy Governance</w:t>
            </w:r>
          </w:p>
        </w:tc>
        <w:tc>
          <w:tcPr>
            <w:tcW w:w="7152" w:type="dxa"/>
          </w:tcPr>
          <w:p w:rsidR="006E388F" w:rsidRDefault="007E1694">
            <w:pPr>
              <w:pStyle w:val="Standard"/>
            </w:pPr>
            <w:r>
              <w:t xml:space="preserve">Zugriff über SAP Privacy </w:t>
            </w:r>
            <w:r>
              <w:t>Governance Fiori Launchpad. Ihr Systemadministrator stellt Ihnen die URL für den Zugriff auf die verschiedenen Apps, die Ihrer Rolle zugeordnet sind, zur Verfügung.</w:t>
            </w:r>
          </w:p>
        </w:tc>
      </w:tr>
    </w:tbl>
    <w:p w:rsidR="006E388F" w:rsidRDefault="007E1694">
      <w:pPr>
        <w:pStyle w:val="Heading2"/>
      </w:pPr>
      <w:bookmarkStart w:id="12" w:name="unique_6"/>
      <w:bookmarkStart w:id="13" w:name="_Toc52287634"/>
      <w:r>
        <w:t>Rollen</w:t>
      </w:r>
      <w:bookmarkEnd w:id="12"/>
      <w:bookmarkEnd w:id="13"/>
    </w:p>
    <w:p w:rsidR="006E388F" w:rsidRDefault="007E1694">
      <w:pPr>
        <w:pStyle w:val="Standard"/>
      </w:pPr>
      <w:r>
        <w:t>In SAP Privacy Governance:</w:t>
      </w:r>
    </w:p>
    <w:tbl>
      <w:tblPr>
        <w:tblStyle w:val="SAPStandardTable"/>
        <w:tblW w:w="14304" w:type="dxa"/>
        <w:tblInd w:w="0" w:type="dxa"/>
        <w:tblLayout w:type="fixed"/>
        <w:tblLook w:val="0620" w:firstRow="1" w:lastRow="0" w:firstColumn="0" w:lastColumn="0" w:noHBand="1" w:noVBand="1"/>
      </w:tblPr>
      <w:tblGrid>
        <w:gridCol w:w="4768"/>
        <w:gridCol w:w="4768"/>
        <w:gridCol w:w="4768"/>
      </w:tblGrid>
      <w:tr w:rsidR="006E388F" w:rsidTr="007E1694">
        <w:trPr>
          <w:cnfStyle w:val="100000000000" w:firstRow="1" w:lastRow="0" w:firstColumn="0" w:lastColumn="0" w:oddVBand="0" w:evenVBand="0" w:oddHBand="0" w:evenHBand="0" w:firstRowFirstColumn="0" w:firstRowLastColumn="0" w:lastRowFirstColumn="0" w:lastRowLastColumn="0"/>
        </w:trPr>
        <w:tc>
          <w:tcPr>
            <w:tcW w:w="4768" w:type="dxa"/>
          </w:tcPr>
          <w:p w:rsidR="006E388F" w:rsidRDefault="007E1694">
            <w:pPr>
              <w:pStyle w:val="SAPTableHeader"/>
            </w:pPr>
            <w:r>
              <w:t>Anwendungsrolle</w:t>
            </w:r>
          </w:p>
        </w:tc>
        <w:tc>
          <w:tcPr>
            <w:tcW w:w="4768" w:type="dxa"/>
          </w:tcPr>
          <w:p w:rsidR="006E388F" w:rsidRDefault="007E1694">
            <w:pPr>
              <w:pStyle w:val="SAPTableHeader"/>
            </w:pPr>
            <w:r>
              <w:t>Rollensammlung</w:t>
            </w:r>
          </w:p>
        </w:tc>
        <w:tc>
          <w:tcPr>
            <w:tcW w:w="4768" w:type="dxa"/>
          </w:tcPr>
          <w:p w:rsidR="006E388F" w:rsidRDefault="007E1694">
            <w:pPr>
              <w:pStyle w:val="SAPTableHeader"/>
            </w:pPr>
            <w:r>
              <w:t>Anmelden</w:t>
            </w:r>
          </w:p>
        </w:tc>
      </w:tr>
      <w:tr w:rsidR="006E388F" w:rsidTr="007E1694">
        <w:tc>
          <w:tcPr>
            <w:tcW w:w="4768" w:type="dxa"/>
          </w:tcPr>
          <w:p w:rsidR="006E388F" w:rsidRDefault="007E1694">
            <w:pPr>
              <w:pStyle w:val="Standard"/>
            </w:pPr>
            <w:r>
              <w:t>Experte</w:t>
            </w:r>
          </w:p>
        </w:tc>
        <w:tc>
          <w:tcPr>
            <w:tcW w:w="4768" w:type="dxa"/>
          </w:tcPr>
          <w:p w:rsidR="006E388F" w:rsidRDefault="007E1694">
            <w:pPr>
              <w:pStyle w:val="Standard"/>
            </w:pPr>
            <w:r>
              <w:t>Compliance_Specialist</w:t>
            </w:r>
          </w:p>
        </w:tc>
        <w:tc>
          <w:tcPr>
            <w:tcW w:w="4768" w:type="dxa"/>
          </w:tcPr>
          <w:p w:rsidR="006E388F" w:rsidRDefault="006E388F">
            <w:pPr>
              <w:pStyle w:val="Standard"/>
            </w:pPr>
          </w:p>
        </w:tc>
      </w:tr>
      <w:tr w:rsidR="006E388F" w:rsidTr="007E1694">
        <w:tc>
          <w:tcPr>
            <w:tcW w:w="4768" w:type="dxa"/>
          </w:tcPr>
          <w:p w:rsidR="006E388F" w:rsidRDefault="007E1694">
            <w:pPr>
              <w:pStyle w:val="Standard"/>
            </w:pPr>
            <w:r>
              <w:t>Vorgesetzter</w:t>
            </w:r>
          </w:p>
        </w:tc>
        <w:tc>
          <w:tcPr>
            <w:tcW w:w="4768" w:type="dxa"/>
          </w:tcPr>
          <w:p w:rsidR="006E388F" w:rsidRDefault="007E1694">
            <w:pPr>
              <w:pStyle w:val="Standard"/>
            </w:pPr>
            <w:r>
              <w:t>Compliance_Manager</w:t>
            </w:r>
          </w:p>
        </w:tc>
        <w:tc>
          <w:tcPr>
            <w:tcW w:w="4768" w:type="dxa"/>
          </w:tcPr>
          <w:p w:rsidR="006E388F" w:rsidRDefault="006E388F">
            <w:pPr>
              <w:pStyle w:val="Standard"/>
            </w:pPr>
          </w:p>
        </w:tc>
      </w:tr>
    </w:tbl>
    <w:p w:rsidR="006E388F" w:rsidRDefault="007E1694">
      <w:pPr>
        <w:pStyle w:val="Standard"/>
      </w:pPr>
      <w:r>
        <w:t xml:space="preserve">Weitere Informationen finden Sie unter </w:t>
      </w:r>
      <w:r>
        <w:rPr>
          <w:i/>
          <w:iCs/>
        </w:rPr>
        <w:t>Benutzer und Rollenverwaltung</w:t>
      </w:r>
      <w:r>
        <w:t xml:space="preserve"> im </w:t>
      </w:r>
      <w:hyperlink r:id="rId9" w:history="1">
        <w:r>
          <w:rPr>
            <w:rStyle w:val="underline"/>
          </w:rPr>
          <w:t>Administrationsleitfaden für SAP P</w:t>
        </w:r>
        <w:r>
          <w:rPr>
            <w:rStyle w:val="underline"/>
          </w:rPr>
          <w:t>rivacy Governance</w:t>
        </w:r>
      </w:hyperlink>
      <w:r>
        <w:t>.</w:t>
      </w:r>
    </w:p>
    <w:p w:rsidR="006E388F" w:rsidRDefault="007E1694">
      <w:pPr>
        <w:pStyle w:val="Heading2"/>
      </w:pPr>
      <w:bookmarkStart w:id="14" w:name="unique_7"/>
      <w:bookmarkStart w:id="15" w:name="_Toc52287635"/>
      <w:r>
        <w:t>Stammdaten, Organisationsdaten und sonstige Daten</w:t>
      </w:r>
      <w:bookmarkEnd w:id="14"/>
      <w:bookmarkEnd w:id="15"/>
    </w:p>
    <w:p w:rsidR="006E388F" w:rsidRDefault="007E1694">
      <w:pPr>
        <w:pStyle w:val="Standard"/>
      </w:pPr>
      <w:r>
        <w:t>Die Organisationsstruktur und die Stammdaten Ihres Unternehmens werden bei der Aktivierung in Ihrem System angelegt. Die Organisationsstruktur gibt den Aufbau Ihres Unternehmens wieder. D</w:t>
      </w:r>
      <w:r>
        <w:t>ie Stammdaten stehen für Materialien, Geschäftspartner und Lieferanten, je nach dem betrieblichen Schwerpunkt Ihres Unternehmens.</w:t>
      </w:r>
    </w:p>
    <w:p w:rsidR="006E388F" w:rsidRDefault="007E1694">
      <w:pPr>
        <w:pStyle w:val="Heading2"/>
      </w:pPr>
      <w:bookmarkStart w:id="16" w:name="unique_8"/>
      <w:bookmarkStart w:id="17" w:name="_Toc52287636"/>
      <w:r>
        <w:t>Voraussetzungen/Situation</w:t>
      </w:r>
      <w:bookmarkEnd w:id="16"/>
      <w:bookmarkEnd w:id="17"/>
    </w:p>
    <w:p w:rsidR="006E388F" w:rsidRDefault="007E1694">
      <w:pPr>
        <w:pStyle w:val="Standard"/>
      </w:pPr>
      <w:r>
        <w:t>Um diesen Umfangsbestandteil testen zu können, müssen die folgenden Voraussetzungen erfüllt sein.</w:t>
      </w:r>
    </w:p>
    <w:tbl>
      <w:tblPr>
        <w:tblStyle w:val="SAPStandardTable"/>
        <w:tblW w:w="14304" w:type="dxa"/>
        <w:tblInd w:w="0" w:type="dxa"/>
        <w:tblLayout w:type="fixed"/>
        <w:tblLook w:val="0620" w:firstRow="1" w:lastRow="0" w:firstColumn="0" w:lastColumn="0" w:noHBand="1" w:noVBand="1"/>
      </w:tblPr>
      <w:tblGrid>
        <w:gridCol w:w="7152"/>
        <w:gridCol w:w="7152"/>
      </w:tblGrid>
      <w:tr w:rsidR="006E388F" w:rsidTr="007E1694">
        <w:trPr>
          <w:cnfStyle w:val="100000000000" w:firstRow="1" w:lastRow="0" w:firstColumn="0" w:lastColumn="0" w:oddVBand="0" w:evenVBand="0" w:oddHBand="0" w:evenHBand="0" w:firstRowFirstColumn="0" w:firstRowLastColumn="0" w:lastRowFirstColumn="0" w:lastRowLastColumn="0"/>
        </w:trPr>
        <w:tc>
          <w:tcPr>
            <w:tcW w:w="7152" w:type="dxa"/>
          </w:tcPr>
          <w:p w:rsidR="006E388F" w:rsidRDefault="007E1694">
            <w:pPr>
              <w:pStyle w:val="SAPTableHeader"/>
            </w:pPr>
            <w:r>
              <w:t>Um</w:t>
            </w:r>
            <w:r>
              <w:t>fangsbestandteil</w:t>
            </w:r>
          </w:p>
        </w:tc>
        <w:tc>
          <w:tcPr>
            <w:tcW w:w="7152" w:type="dxa"/>
          </w:tcPr>
          <w:p w:rsidR="006E388F" w:rsidRDefault="007E1694">
            <w:pPr>
              <w:pStyle w:val="SAPTableHeader"/>
            </w:pPr>
            <w:r>
              <w:t>Voraussetzung/Situation</w:t>
            </w:r>
          </w:p>
        </w:tc>
      </w:tr>
      <w:tr w:rsidR="006E388F" w:rsidTr="007E1694">
        <w:tc>
          <w:tcPr>
            <w:tcW w:w="7152" w:type="dxa"/>
          </w:tcPr>
          <w:p w:rsidR="006E388F" w:rsidRDefault="007E1694">
            <w:pPr>
              <w:pStyle w:val="Standard"/>
            </w:pPr>
            <w:r>
              <w:t>1KA – Information Lifecycle Management</w:t>
            </w:r>
          </w:p>
        </w:tc>
        <w:tc>
          <w:tcPr>
            <w:tcW w:w="7152" w:type="dxa"/>
          </w:tcPr>
          <w:p w:rsidR="006E388F" w:rsidRDefault="007E1694">
            <w:pPr>
              <w:pStyle w:val="Standard"/>
            </w:pPr>
            <w:r>
              <w:t>Das Information Lifecycle Management wurde aktiviert und Aufbewahrungsregeln für die relevanten Objekte, wie z.B. Kundenaufträge und HR-Objekte, wurden gepflegt.</w:t>
            </w:r>
          </w:p>
          <w:p w:rsidR="006E388F" w:rsidRDefault="007E1694">
            <w:pPr>
              <w:pStyle w:val="Standard"/>
            </w:pPr>
            <w:r>
              <w:t xml:space="preserve">Wenn Sie </w:t>
            </w:r>
            <w:r>
              <w:t>beispielsweise ein Datenschutzrisiko im Kundenauftrag ermitteln möchten, müssen Sie das ILM-Objekt "SD_VBAK" dem entsprechenden vorhandenen Prüfgebiet oder einem neuen zuordnen. Legen Sie anschließend ein ILM-Regelwerk an, und pflegen Sie Aufbewahrungsrege</w:t>
            </w:r>
            <w:r>
              <w:t>ln unter dieser Kombination aus Prüfgebiet und ILM-Objekt.</w:t>
            </w:r>
          </w:p>
        </w:tc>
      </w:tr>
    </w:tbl>
    <w:p w:rsidR="006E388F" w:rsidRDefault="007E1694">
      <w:pPr>
        <w:pStyle w:val="Heading1"/>
      </w:pPr>
      <w:bookmarkStart w:id="18" w:name="unique_9"/>
      <w:bookmarkStart w:id="19" w:name="_Toc52287637"/>
      <w:r>
        <w:t>Übersichtstabelle</w:t>
      </w:r>
      <w:bookmarkEnd w:id="18"/>
      <w:bookmarkEnd w:id="19"/>
    </w:p>
    <w:p w:rsidR="006E388F" w:rsidRDefault="007E1694">
      <w:pPr>
        <w:pStyle w:val="Standard"/>
      </w:pPr>
      <w:r>
        <w:t>Der Umfangsbestandteil „Ermittlung von Datenschutzrisiken mit SAP Privacy Governance“ (3KX) besteht aus mehreren Prozessschritten, die in der folgenden Tabelle bereitgestellt wer</w:t>
      </w:r>
      <w:r>
        <w:t>den.</w:t>
      </w:r>
    </w:p>
    <w:tbl>
      <w:tblPr>
        <w:tblStyle w:val="SAPStandardTable"/>
        <w:tblW w:w="14304" w:type="dxa"/>
        <w:tblInd w:w="0" w:type="dxa"/>
        <w:tblLayout w:type="fixed"/>
        <w:tblLook w:val="0620" w:firstRow="1" w:lastRow="0" w:firstColumn="0" w:lastColumn="0" w:noHBand="1" w:noVBand="1"/>
      </w:tblPr>
      <w:tblGrid>
        <w:gridCol w:w="3576"/>
        <w:gridCol w:w="3576"/>
        <w:gridCol w:w="3576"/>
        <w:gridCol w:w="3576"/>
      </w:tblGrid>
      <w:tr w:rsidR="006E388F" w:rsidTr="007E1694">
        <w:trPr>
          <w:cnfStyle w:val="100000000000" w:firstRow="1" w:lastRow="0" w:firstColumn="0" w:lastColumn="0" w:oddVBand="0" w:evenVBand="0" w:oddHBand="0" w:evenHBand="0" w:firstRowFirstColumn="0" w:firstRowLastColumn="0" w:lastRowFirstColumn="0" w:lastRowLastColumn="0"/>
        </w:trPr>
        <w:tc>
          <w:tcPr>
            <w:tcW w:w="3576" w:type="dxa"/>
          </w:tcPr>
          <w:p w:rsidR="006E388F" w:rsidRDefault="007E1694">
            <w:pPr>
              <w:pStyle w:val="SAPTableHeader"/>
            </w:pPr>
            <w:r>
              <w:t>Prozessschritt</w:t>
            </w:r>
          </w:p>
        </w:tc>
        <w:tc>
          <w:tcPr>
            <w:tcW w:w="3576" w:type="dxa"/>
          </w:tcPr>
          <w:p w:rsidR="006E388F" w:rsidRDefault="007E1694">
            <w:pPr>
              <w:pStyle w:val="SAPTableHeader"/>
            </w:pPr>
            <w:r>
              <w:t>System/Benutzerrolle</w:t>
            </w:r>
          </w:p>
        </w:tc>
        <w:tc>
          <w:tcPr>
            <w:tcW w:w="3576" w:type="dxa"/>
          </w:tcPr>
          <w:p w:rsidR="006E388F" w:rsidRDefault="007E1694">
            <w:pPr>
              <w:pStyle w:val="SAPTableHeader"/>
            </w:pPr>
            <w:r>
              <w:t>Transaktion/App</w:t>
            </w:r>
          </w:p>
        </w:tc>
        <w:tc>
          <w:tcPr>
            <w:tcW w:w="3576" w:type="dxa"/>
          </w:tcPr>
          <w:p w:rsidR="006E388F" w:rsidRDefault="007E1694">
            <w:pPr>
              <w:pStyle w:val="SAPTableHeader"/>
            </w:pPr>
            <w:r>
              <w:t>Erwartete Ergebnisse</w:t>
            </w:r>
          </w:p>
        </w:tc>
      </w:tr>
      <w:tr w:rsidR="006E388F" w:rsidTr="007E1694">
        <w:tc>
          <w:tcPr>
            <w:tcW w:w="3576" w:type="dxa"/>
          </w:tcPr>
          <w:p w:rsidR="006E388F" w:rsidRDefault="007E1694">
            <w:pPr>
              <w:pStyle w:val="Standard"/>
            </w:pPr>
            <w:hyperlink r:id="rId10" w:history="1">
              <w:r>
                <w:t>Automatische Prozedur anlegen</w:t>
              </w:r>
            </w:hyperlink>
            <w:r>
              <w:t xml:space="preserve">  [Seite ] </w:t>
            </w:r>
            <w:r>
              <w:fldChar w:fldCharType="begin"/>
            </w:r>
            <w:r>
              <w:instrText xml:space="preserve"> PAGEREF unique_10 </w:instrText>
            </w:r>
            <w:r>
              <w:fldChar w:fldCharType="separate"/>
            </w:r>
            <w:r>
              <w:rPr>
                <w:noProof/>
              </w:rPr>
              <w:t>10</w:t>
            </w:r>
            <w:r>
              <w:fldChar w:fldCharType="end"/>
            </w:r>
          </w:p>
        </w:tc>
        <w:tc>
          <w:tcPr>
            <w:tcW w:w="3576" w:type="dxa"/>
          </w:tcPr>
          <w:p w:rsidR="006E388F" w:rsidRDefault="007E1694">
            <w:pPr>
              <w:pStyle w:val="Standard"/>
            </w:pPr>
            <w:r>
              <w:t>SPG/Spezialist</w:t>
            </w:r>
          </w:p>
        </w:tc>
        <w:tc>
          <w:tcPr>
            <w:tcW w:w="3576" w:type="dxa"/>
          </w:tcPr>
          <w:p w:rsidR="006E388F" w:rsidRDefault="007E1694">
            <w:pPr>
              <w:pStyle w:val="Standard"/>
            </w:pPr>
            <w:r>
              <w:rPr>
                <w:rStyle w:val="SAPScreenElement"/>
              </w:rPr>
              <w:t>Automatische Prozeduren verwalten</w:t>
            </w:r>
          </w:p>
        </w:tc>
        <w:tc>
          <w:tcPr>
            <w:tcW w:w="3576" w:type="dxa"/>
          </w:tcPr>
          <w:p w:rsidR="006E388F" w:rsidRDefault="007E1694">
            <w:pPr>
              <w:pStyle w:val="Standard"/>
            </w:pPr>
            <w:r>
              <w:t>Eine neue AP wird erfolgreich angelegt und aktiviert.</w:t>
            </w:r>
          </w:p>
        </w:tc>
      </w:tr>
      <w:tr w:rsidR="006E388F" w:rsidTr="007E1694">
        <w:tc>
          <w:tcPr>
            <w:tcW w:w="3576" w:type="dxa"/>
          </w:tcPr>
          <w:p w:rsidR="006E388F" w:rsidRDefault="007E1694">
            <w:pPr>
              <w:pStyle w:val="Standard"/>
            </w:pPr>
            <w:hyperlink r:id="rId11" w:history="1">
              <w:r>
                <w:t>Controls anlegen</w:t>
              </w:r>
            </w:hyperlink>
            <w:r>
              <w:t xml:space="preserve">  [Seite ] </w:t>
            </w:r>
            <w:r>
              <w:fldChar w:fldCharType="begin"/>
            </w:r>
            <w:r>
              <w:instrText xml:space="preserve"> PAGEREF unique_11 </w:instrText>
            </w:r>
            <w:r>
              <w:fldChar w:fldCharType="separate"/>
            </w:r>
            <w:r>
              <w:rPr>
                <w:noProof/>
              </w:rPr>
              <w:t>14</w:t>
            </w:r>
            <w:r>
              <w:fldChar w:fldCharType="end"/>
            </w:r>
          </w:p>
        </w:tc>
        <w:tc>
          <w:tcPr>
            <w:tcW w:w="3576" w:type="dxa"/>
          </w:tcPr>
          <w:p w:rsidR="006E388F" w:rsidRDefault="007E1694">
            <w:pPr>
              <w:pStyle w:val="Standard"/>
            </w:pPr>
            <w:r>
              <w:t>SPG/Spezialist</w:t>
            </w:r>
          </w:p>
        </w:tc>
        <w:tc>
          <w:tcPr>
            <w:tcW w:w="3576" w:type="dxa"/>
          </w:tcPr>
          <w:p w:rsidR="006E388F" w:rsidRDefault="007E1694">
            <w:pPr>
              <w:pStyle w:val="Standard"/>
            </w:pPr>
            <w:r>
              <w:rPr>
                <w:rStyle w:val="SAPScreenElement"/>
              </w:rPr>
              <w:t>Maßnahmen verwalten</w:t>
            </w:r>
          </w:p>
        </w:tc>
        <w:tc>
          <w:tcPr>
            <w:tcW w:w="3576" w:type="dxa"/>
          </w:tcPr>
          <w:p w:rsidR="006E388F" w:rsidRDefault="007E1694">
            <w:pPr>
              <w:pStyle w:val="Standard"/>
            </w:pPr>
            <w:r>
              <w:t>Ei</w:t>
            </w:r>
            <w:r>
              <w:t>n neues Control wird erfolgreich angelegt.</w:t>
            </w:r>
          </w:p>
        </w:tc>
      </w:tr>
      <w:tr w:rsidR="006E388F" w:rsidTr="007E1694">
        <w:tc>
          <w:tcPr>
            <w:tcW w:w="3576" w:type="dxa"/>
          </w:tcPr>
          <w:p w:rsidR="006E388F" w:rsidRDefault="007E1694">
            <w:pPr>
              <w:pStyle w:val="Standard"/>
            </w:pPr>
            <w:hyperlink r:id="rId12" w:history="1">
              <w:r>
                <w:t>Arbeitspaket anlegen</w:t>
              </w:r>
            </w:hyperlink>
            <w:r>
              <w:t xml:space="preserve">  [Seite ] </w:t>
            </w:r>
            <w:r>
              <w:fldChar w:fldCharType="begin"/>
            </w:r>
            <w:r>
              <w:instrText xml:space="preserve"> PAGEREF unique_12 </w:instrText>
            </w:r>
            <w:r>
              <w:fldChar w:fldCharType="separate"/>
            </w:r>
            <w:r>
              <w:rPr>
                <w:noProof/>
              </w:rPr>
              <w:t>16</w:t>
            </w:r>
            <w:r>
              <w:fldChar w:fldCharType="end"/>
            </w:r>
          </w:p>
        </w:tc>
        <w:tc>
          <w:tcPr>
            <w:tcW w:w="3576" w:type="dxa"/>
          </w:tcPr>
          <w:p w:rsidR="006E388F" w:rsidRDefault="007E1694">
            <w:pPr>
              <w:pStyle w:val="Standard"/>
            </w:pPr>
            <w:r>
              <w:t>SPG/Spezialist</w:t>
            </w:r>
          </w:p>
        </w:tc>
        <w:tc>
          <w:tcPr>
            <w:tcW w:w="3576" w:type="dxa"/>
          </w:tcPr>
          <w:p w:rsidR="006E388F" w:rsidRDefault="007E1694">
            <w:pPr>
              <w:pStyle w:val="Standard"/>
            </w:pPr>
            <w:r>
              <w:rPr>
                <w:rStyle w:val="SAPScreenElement"/>
              </w:rPr>
              <w:t>Arbeitspakete verwalten</w:t>
            </w:r>
          </w:p>
        </w:tc>
        <w:tc>
          <w:tcPr>
            <w:tcW w:w="3576" w:type="dxa"/>
          </w:tcPr>
          <w:p w:rsidR="006E388F" w:rsidRDefault="007E1694">
            <w:pPr>
              <w:pStyle w:val="Standard"/>
            </w:pPr>
            <w:r>
              <w:t>Ein neues Arbeitspaket wird angelegt.</w:t>
            </w:r>
          </w:p>
        </w:tc>
      </w:tr>
      <w:tr w:rsidR="006E388F" w:rsidTr="007E1694">
        <w:tc>
          <w:tcPr>
            <w:tcW w:w="3576" w:type="dxa"/>
          </w:tcPr>
          <w:p w:rsidR="006E388F" w:rsidRDefault="007E1694">
            <w:pPr>
              <w:pStyle w:val="Standard"/>
            </w:pPr>
            <w:hyperlink r:id="rId13" w:history="1">
              <w:r>
                <w:t>Ergebnis des automatis</w:t>
              </w:r>
              <w:r>
                <w:t>ierten Prozedurlaufs anzeigen</w:t>
              </w:r>
            </w:hyperlink>
            <w:r>
              <w:t xml:space="preserve">  [Seite ] </w:t>
            </w:r>
            <w:r>
              <w:fldChar w:fldCharType="begin"/>
            </w:r>
            <w:r>
              <w:instrText xml:space="preserve"> PAGEREF unique_13 </w:instrText>
            </w:r>
            <w:r>
              <w:fldChar w:fldCharType="separate"/>
            </w:r>
            <w:r>
              <w:rPr>
                <w:noProof/>
              </w:rPr>
              <w:t>19</w:t>
            </w:r>
            <w:r>
              <w:fldChar w:fldCharType="end"/>
            </w:r>
          </w:p>
        </w:tc>
        <w:tc>
          <w:tcPr>
            <w:tcW w:w="3576" w:type="dxa"/>
          </w:tcPr>
          <w:p w:rsidR="006E388F" w:rsidRDefault="007E1694">
            <w:pPr>
              <w:pStyle w:val="Standard"/>
            </w:pPr>
            <w:r>
              <w:t>SPG/Spezialist oder Manager</w:t>
            </w:r>
          </w:p>
        </w:tc>
        <w:tc>
          <w:tcPr>
            <w:tcW w:w="3576" w:type="dxa"/>
          </w:tcPr>
          <w:p w:rsidR="006E388F" w:rsidRDefault="007E1694">
            <w:pPr>
              <w:pStyle w:val="Standard"/>
            </w:pPr>
            <w:r>
              <w:rPr>
                <w:rStyle w:val="SAPScreenElement"/>
              </w:rPr>
              <w:t>Automatische Prozedurläufe anzeigen</w:t>
            </w:r>
          </w:p>
        </w:tc>
        <w:tc>
          <w:tcPr>
            <w:tcW w:w="3576" w:type="dxa"/>
          </w:tcPr>
          <w:p w:rsidR="006E388F" w:rsidRDefault="007E1694">
            <w:pPr>
              <w:pStyle w:val="Standard"/>
            </w:pPr>
            <w:r>
              <w:t>Ergebnisse von automatisierten Prozedurläufen werden erfolgreich aufgelistet.</w:t>
            </w:r>
          </w:p>
        </w:tc>
      </w:tr>
    </w:tbl>
    <w:p w:rsidR="006E388F" w:rsidRDefault="007E1694">
      <w:pPr>
        <w:pStyle w:val="Heading1"/>
      </w:pPr>
      <w:bookmarkStart w:id="20" w:name="unique_14"/>
      <w:bookmarkStart w:id="21" w:name="_Toc52287638"/>
      <w:r>
        <w:t>Testverfahren</w:t>
      </w:r>
      <w:bookmarkEnd w:id="20"/>
      <w:bookmarkEnd w:id="21"/>
    </w:p>
    <w:p w:rsidR="006E388F" w:rsidRDefault="007E1694">
      <w:pPr>
        <w:pStyle w:val="Standard"/>
      </w:pPr>
      <w:r>
        <w:t xml:space="preserve">In diesem Abschnitt werden die </w:t>
      </w:r>
      <w:r>
        <w:t>Testverfahren für den jeweiligen Prozessschritt beschrieben, der zum betreffenden Umfangsbestandteil gehört.</w:t>
      </w:r>
    </w:p>
    <w:p w:rsidR="006E388F" w:rsidRDefault="007E1694">
      <w:pPr>
        <w:pStyle w:val="Heading2"/>
      </w:pPr>
      <w:bookmarkStart w:id="22" w:name="unique_10"/>
      <w:bookmarkStart w:id="23" w:name="_Toc52287639"/>
      <w:r>
        <w:t>Automatische Prozedur anlegen</w:t>
      </w:r>
      <w:bookmarkEnd w:id="22"/>
      <w:bookmarkEnd w:id="23"/>
    </w:p>
    <w:p w:rsidR="006E388F" w:rsidRDefault="007E1694">
      <w:pPr>
        <w:pStyle w:val="SAPKeyblockTitle"/>
      </w:pPr>
      <w:r>
        <w:t>Testverwaltung</w:t>
      </w:r>
    </w:p>
    <w:p w:rsidR="006E388F" w:rsidRDefault="007E1694">
      <w:pPr>
        <w:pStyle w:val="Standard"/>
      </w:pPr>
      <w:r>
        <w:t>Kundenprojekt: Füllen Sie die projektbezogenen Teile aus.</w:t>
      </w:r>
    </w:p>
    <w:p w:rsidR="006E388F" w:rsidRDefault="006E388F">
      <w:pPr>
        <w:pStyle w:val="Standard"/>
      </w:pPr>
    </w:p>
    <w:tbl>
      <w:tblPr>
        <w:tblW w:w="1430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10" w:type="dxa"/>
          <w:right w:w="10" w:type="dxa"/>
        </w:tblCellMar>
        <w:tblLook w:val="0000" w:firstRow="0" w:lastRow="0" w:firstColumn="0" w:lastColumn="0" w:noHBand="0" w:noVBand="0"/>
      </w:tblPr>
      <w:tblGrid>
        <w:gridCol w:w="2383"/>
        <w:gridCol w:w="2384"/>
        <w:gridCol w:w="2384"/>
        <w:gridCol w:w="2384"/>
        <w:gridCol w:w="2384"/>
        <w:gridCol w:w="2385"/>
      </w:tblGrid>
      <w:tr w:rsidR="006E388F" w:rsidTr="007E1694">
        <w:tblPrEx>
          <w:tblCellMar>
            <w:top w:w="0" w:type="dxa"/>
            <w:bottom w:w="0" w:type="dxa"/>
          </w:tblCellMar>
        </w:tblPrEx>
        <w:tc>
          <w:tcPr>
            <w:tcW w:w="2384" w:type="dxa"/>
            <w:shd w:val="clear" w:color="auto" w:fill="auto"/>
          </w:tcPr>
          <w:p w:rsidR="006E388F" w:rsidRDefault="007E1694">
            <w:pPr>
              <w:pStyle w:val="Standard"/>
            </w:pPr>
            <w:r>
              <w:rPr>
                <w:rStyle w:val="SAPEmphasis"/>
              </w:rPr>
              <w:t>Testfall-ID</w:t>
            </w:r>
          </w:p>
        </w:tc>
        <w:tc>
          <w:tcPr>
            <w:tcW w:w="2384" w:type="dxa"/>
            <w:shd w:val="clear" w:color="auto" w:fill="auto"/>
          </w:tcPr>
          <w:p w:rsidR="006E388F" w:rsidRDefault="007E1694">
            <w:pPr>
              <w:pStyle w:val="Standard"/>
            </w:pPr>
            <w:r>
              <w:t>&lt;X.XX&gt;</w:t>
            </w:r>
          </w:p>
        </w:tc>
        <w:tc>
          <w:tcPr>
            <w:tcW w:w="2384" w:type="dxa"/>
            <w:shd w:val="clear" w:color="auto" w:fill="auto"/>
          </w:tcPr>
          <w:p w:rsidR="006E388F" w:rsidRDefault="007E1694">
            <w:pPr>
              <w:pStyle w:val="Standard"/>
            </w:pPr>
            <w:r>
              <w:rPr>
                <w:rStyle w:val="SAPEmphasis"/>
              </w:rPr>
              <w:t>Testername</w:t>
            </w:r>
          </w:p>
        </w:tc>
        <w:tc>
          <w:tcPr>
            <w:tcW w:w="2384" w:type="dxa"/>
            <w:shd w:val="clear" w:color="auto" w:fill="auto"/>
          </w:tcPr>
          <w:p w:rsidR="006E388F" w:rsidRDefault="006E388F">
            <w:pPr>
              <w:pStyle w:val="Standard"/>
            </w:pPr>
          </w:p>
        </w:tc>
        <w:tc>
          <w:tcPr>
            <w:tcW w:w="2384" w:type="dxa"/>
            <w:shd w:val="clear" w:color="auto" w:fill="auto"/>
          </w:tcPr>
          <w:p w:rsidR="006E388F" w:rsidRDefault="007E1694">
            <w:pPr>
              <w:pStyle w:val="Standard"/>
            </w:pPr>
            <w:r>
              <w:rPr>
                <w:rStyle w:val="SAPEmphasis"/>
              </w:rPr>
              <w:t>Testdatum</w:t>
            </w:r>
          </w:p>
        </w:tc>
        <w:tc>
          <w:tcPr>
            <w:tcW w:w="2385" w:type="dxa"/>
            <w:shd w:val="clear" w:color="auto" w:fill="auto"/>
          </w:tcPr>
          <w:p w:rsidR="006E388F" w:rsidRDefault="007E1694">
            <w:pPr>
              <w:pStyle w:val="Standard"/>
            </w:pPr>
            <w:r>
              <w:rPr>
                <w:rStyle w:val="SAPUserEntry"/>
              </w:rPr>
              <w:t>Ge</w:t>
            </w:r>
            <w:r>
              <w:rPr>
                <w:rStyle w:val="SAPUserEntry"/>
              </w:rPr>
              <w:t>ben Sie ein Testdatum ein.</w:t>
            </w:r>
          </w:p>
        </w:tc>
      </w:tr>
      <w:tr w:rsidR="006E388F" w:rsidTr="007E1694">
        <w:tblPrEx>
          <w:tblCellMar>
            <w:top w:w="0" w:type="dxa"/>
            <w:bottom w:w="0" w:type="dxa"/>
          </w:tblCellMar>
        </w:tblPrEx>
        <w:tc>
          <w:tcPr>
            <w:tcW w:w="2384" w:type="dxa"/>
            <w:shd w:val="clear" w:color="auto" w:fill="auto"/>
          </w:tcPr>
          <w:p w:rsidR="006E388F" w:rsidRDefault="007E1694">
            <w:pPr>
              <w:pStyle w:val="Standard"/>
            </w:pPr>
            <w:r>
              <w:t>Benutzerrolle(n)</w:t>
            </w:r>
          </w:p>
        </w:tc>
        <w:tc>
          <w:tcPr>
            <w:tcW w:w="11921" w:type="dxa"/>
            <w:gridSpan w:val="5"/>
            <w:shd w:val="clear" w:color="auto" w:fill="auto"/>
          </w:tcPr>
          <w:p w:rsidR="006E388F" w:rsidRDefault="006E388F">
            <w:pPr>
              <w:pStyle w:val="Standard"/>
            </w:pPr>
          </w:p>
        </w:tc>
      </w:tr>
      <w:tr w:rsidR="006E388F" w:rsidTr="007E1694">
        <w:tblPrEx>
          <w:tblCellMar>
            <w:top w:w="0" w:type="dxa"/>
            <w:bottom w:w="0" w:type="dxa"/>
          </w:tblCellMar>
        </w:tblPrEx>
        <w:tc>
          <w:tcPr>
            <w:tcW w:w="2384" w:type="dxa"/>
            <w:shd w:val="clear" w:color="auto" w:fill="auto"/>
          </w:tcPr>
          <w:p w:rsidR="006E388F" w:rsidRDefault="007E1694">
            <w:pPr>
              <w:pStyle w:val="Standard"/>
            </w:pPr>
            <w:r>
              <w:rPr>
                <w:rStyle w:val="SAPEmphasis"/>
              </w:rPr>
              <w:t>Verantwortungsbereich</w:t>
            </w:r>
          </w:p>
        </w:tc>
        <w:tc>
          <w:tcPr>
            <w:tcW w:w="7152" w:type="dxa"/>
            <w:gridSpan w:val="3"/>
            <w:shd w:val="clear" w:color="auto" w:fill="auto"/>
          </w:tcPr>
          <w:p w:rsidR="006E388F" w:rsidRDefault="007E1694">
            <w:pPr>
              <w:pStyle w:val="Standard"/>
            </w:pPr>
            <w:r>
              <w:rPr>
                <w:rStyle w:val="SAPUserEntry"/>
              </w:rPr>
              <w:t>&lt;Geben Sie den Serviceanbieter, einen Kunden oder einen Serviceanbieter zusammen mit einem Kunden an.&gt;</w:t>
            </w:r>
          </w:p>
        </w:tc>
        <w:tc>
          <w:tcPr>
            <w:tcW w:w="2384" w:type="dxa"/>
            <w:shd w:val="clear" w:color="auto" w:fill="auto"/>
          </w:tcPr>
          <w:p w:rsidR="006E388F" w:rsidRDefault="007E1694">
            <w:pPr>
              <w:pStyle w:val="Standard"/>
            </w:pPr>
            <w:r>
              <w:rPr>
                <w:rStyle w:val="SAPEmphasis"/>
              </w:rPr>
              <w:t>Dauer</w:t>
            </w:r>
          </w:p>
        </w:tc>
        <w:tc>
          <w:tcPr>
            <w:tcW w:w="2385" w:type="dxa"/>
            <w:shd w:val="clear" w:color="auto" w:fill="auto"/>
          </w:tcPr>
          <w:p w:rsidR="006E388F" w:rsidRDefault="007E1694">
            <w:pPr>
              <w:pStyle w:val="Standard"/>
            </w:pPr>
            <w:r>
              <w:rPr>
                <w:rStyle w:val="SAPUserEntry"/>
              </w:rPr>
              <w:t>Geben Sie eine Dauer ein.</w:t>
            </w:r>
          </w:p>
        </w:tc>
      </w:tr>
    </w:tbl>
    <w:p w:rsidR="006E388F" w:rsidRDefault="007E1694">
      <w:pPr>
        <w:pStyle w:val="SAPKeyblockTitle"/>
      </w:pPr>
      <w:r>
        <w:t>Verwendungszweck</w:t>
      </w:r>
    </w:p>
    <w:p w:rsidR="006E388F" w:rsidRDefault="007E1694">
      <w:pPr>
        <w:pStyle w:val="Standard"/>
      </w:pPr>
      <w:r>
        <w:t xml:space="preserve">Der </w:t>
      </w:r>
      <w:r>
        <w:t>Compliance-Spezialist legt eine neue automatische Prozedur zum Abrufen von Daten in SAP S/4HANA an. Diese neue AP ist für das Anlegen folgender Controls obligatorisch.</w:t>
      </w:r>
    </w:p>
    <w:p w:rsidR="006E388F" w:rsidRDefault="007E1694">
      <w:pPr>
        <w:pStyle w:val="SAPKeyblockTitle"/>
      </w:pPr>
      <w:r>
        <w:t>Voraussetzungen</w:t>
      </w:r>
    </w:p>
    <w:p w:rsidR="006E388F" w:rsidRDefault="007E1694">
      <w:pPr>
        <w:pStyle w:val="Standard"/>
      </w:pPr>
      <w:r>
        <w:t xml:space="preserve">Bevor Sie mit dem Ablegen neuer automatischer Prozeduren </w:t>
      </w:r>
      <w:r>
        <w:t>beginnen, stellen Sie sicher, dass der Einrichtungsleitfaden dieses Umfangsbestandteils befolgt wurde, um eine funktionsfähige Verbindung zwischen SAP Privacy Governance und SAP S/4HANA Cloud zu gewährleisten. Stellen Sie außerdem sicher, dass die Basisinh</w:t>
      </w:r>
      <w:r>
        <w:t>altspakete während des Onboardings für SPG erfolgreich importiert wurden.</w:t>
      </w:r>
    </w:p>
    <w:p w:rsidR="006E388F" w:rsidRDefault="007E1694">
      <w:pPr>
        <w:pStyle w:val="SAPKeyblockTitle"/>
      </w:pPr>
      <w:r>
        <w:t>Vorgehensweise</w:t>
      </w:r>
    </w:p>
    <w:tbl>
      <w:tblPr>
        <w:tblStyle w:val="SAPStandardTable"/>
        <w:tblW w:w="14304" w:type="dxa"/>
        <w:tblInd w:w="0" w:type="dxa"/>
        <w:tblLayout w:type="fixed"/>
        <w:tblLook w:val="0620" w:firstRow="1" w:lastRow="0" w:firstColumn="0" w:lastColumn="0" w:noHBand="1" w:noVBand="1"/>
      </w:tblPr>
      <w:tblGrid>
        <w:gridCol w:w="2860"/>
        <w:gridCol w:w="2860"/>
        <w:gridCol w:w="2861"/>
        <w:gridCol w:w="2861"/>
        <w:gridCol w:w="2862"/>
      </w:tblGrid>
      <w:tr w:rsidR="006E388F" w:rsidTr="007E1694">
        <w:trPr>
          <w:cnfStyle w:val="100000000000" w:firstRow="1" w:lastRow="0" w:firstColumn="0" w:lastColumn="0" w:oddVBand="0" w:evenVBand="0" w:oddHBand="0" w:evenHBand="0" w:firstRowFirstColumn="0" w:firstRowLastColumn="0" w:lastRowFirstColumn="0" w:lastRowLastColumn="0"/>
        </w:trPr>
        <w:tc>
          <w:tcPr>
            <w:tcW w:w="2860" w:type="dxa"/>
          </w:tcPr>
          <w:p w:rsidR="006E388F" w:rsidRDefault="007E1694">
            <w:pPr>
              <w:pStyle w:val="SAPTableHeader"/>
            </w:pPr>
            <w:r>
              <w:t>Testschrittnummer</w:t>
            </w:r>
          </w:p>
        </w:tc>
        <w:tc>
          <w:tcPr>
            <w:tcW w:w="2860" w:type="dxa"/>
          </w:tcPr>
          <w:p w:rsidR="006E388F" w:rsidRDefault="007E1694">
            <w:pPr>
              <w:pStyle w:val="SAPTableHeader"/>
            </w:pPr>
            <w:r>
              <w:t>Bezeichnung des Testschritts</w:t>
            </w:r>
          </w:p>
        </w:tc>
        <w:tc>
          <w:tcPr>
            <w:tcW w:w="2861" w:type="dxa"/>
          </w:tcPr>
          <w:p w:rsidR="006E388F" w:rsidRDefault="007E1694">
            <w:pPr>
              <w:pStyle w:val="SAPTableHeader"/>
            </w:pPr>
            <w:r>
              <w:t>Anweisung</w:t>
            </w:r>
          </w:p>
        </w:tc>
        <w:tc>
          <w:tcPr>
            <w:tcW w:w="2861" w:type="dxa"/>
          </w:tcPr>
          <w:p w:rsidR="006E388F" w:rsidRDefault="007E1694">
            <w:pPr>
              <w:pStyle w:val="SAPTableHeader"/>
            </w:pPr>
            <w:r>
              <w:t>Erwartetes Ergebnis</w:t>
            </w:r>
          </w:p>
        </w:tc>
        <w:tc>
          <w:tcPr>
            <w:tcW w:w="2862" w:type="dxa"/>
          </w:tcPr>
          <w:p w:rsidR="006E388F" w:rsidRDefault="007E1694">
            <w:pPr>
              <w:pStyle w:val="SAPTableHeader"/>
            </w:pPr>
            <w:r>
              <w:t>Bestanden/Nicht bestanden/Anmerkung</w:t>
            </w:r>
          </w:p>
        </w:tc>
      </w:tr>
      <w:tr w:rsidR="006E388F" w:rsidTr="007E1694">
        <w:tc>
          <w:tcPr>
            <w:tcW w:w="2860" w:type="dxa"/>
          </w:tcPr>
          <w:p w:rsidR="006E388F" w:rsidRDefault="007E1694">
            <w:pPr>
              <w:pStyle w:val="Standard"/>
            </w:pPr>
            <w:r>
              <w:t>1</w:t>
            </w:r>
          </w:p>
        </w:tc>
        <w:tc>
          <w:tcPr>
            <w:tcW w:w="2860" w:type="dxa"/>
          </w:tcPr>
          <w:p w:rsidR="006E388F" w:rsidRDefault="007E1694">
            <w:pPr>
              <w:pStyle w:val="Standard"/>
            </w:pPr>
            <w:r>
              <w:rPr>
                <w:rStyle w:val="SAPEmphasis"/>
              </w:rPr>
              <w:t>Anmelden</w:t>
            </w:r>
          </w:p>
        </w:tc>
        <w:tc>
          <w:tcPr>
            <w:tcW w:w="2861" w:type="dxa"/>
          </w:tcPr>
          <w:p w:rsidR="006E388F" w:rsidRDefault="007E1694">
            <w:pPr>
              <w:pStyle w:val="Standard"/>
            </w:pPr>
            <w:r>
              <w:t xml:space="preserve">Melden Sie sich an SAP Privacy </w:t>
            </w:r>
            <w:r>
              <w:t>Governance als Spezialist an.</w:t>
            </w:r>
          </w:p>
        </w:tc>
        <w:tc>
          <w:tcPr>
            <w:tcW w:w="2861" w:type="dxa"/>
          </w:tcPr>
          <w:p w:rsidR="006E388F" w:rsidRDefault="006E388F">
            <w:pPr>
              <w:pStyle w:val="Standard"/>
            </w:pPr>
          </w:p>
        </w:tc>
        <w:tc>
          <w:tcPr>
            <w:tcW w:w="2862" w:type="dxa"/>
          </w:tcPr>
          <w:p w:rsidR="006E388F" w:rsidRDefault="006E388F">
            <w:pPr>
              <w:pStyle w:val="Standard"/>
            </w:pPr>
          </w:p>
        </w:tc>
      </w:tr>
      <w:tr w:rsidR="006E388F" w:rsidTr="007E1694">
        <w:tc>
          <w:tcPr>
            <w:tcW w:w="2860" w:type="dxa"/>
          </w:tcPr>
          <w:p w:rsidR="006E388F" w:rsidRDefault="007E1694">
            <w:pPr>
              <w:pStyle w:val="Standard"/>
            </w:pPr>
            <w:r>
              <w:t>2</w:t>
            </w:r>
          </w:p>
        </w:tc>
        <w:tc>
          <w:tcPr>
            <w:tcW w:w="2860" w:type="dxa"/>
          </w:tcPr>
          <w:p w:rsidR="006E388F" w:rsidRDefault="007E1694">
            <w:pPr>
              <w:pStyle w:val="Standard"/>
            </w:pPr>
            <w:r>
              <w:rPr>
                <w:rStyle w:val="SAPEmphasis"/>
              </w:rPr>
              <w:t>Automatische Standardprozedur anlegen</w:t>
            </w:r>
          </w:p>
        </w:tc>
        <w:tc>
          <w:tcPr>
            <w:tcW w:w="2861" w:type="dxa"/>
          </w:tcPr>
          <w:p w:rsidR="006E388F" w:rsidRDefault="007E1694">
            <w:pPr>
              <w:pStyle w:val="Standard"/>
            </w:pPr>
            <w:r>
              <w:t xml:space="preserve">Öffnen Sie die Kachel </w:t>
            </w:r>
            <w:r>
              <w:rPr>
                <w:rStyle w:val="SAPScreenElement"/>
              </w:rPr>
              <w:t>Automatische Prozeduren verwalten</w:t>
            </w:r>
            <w:r>
              <w:t>.</w:t>
            </w:r>
          </w:p>
          <w:p w:rsidR="006E388F" w:rsidRDefault="007E1694">
            <w:pPr>
              <w:pStyle w:val="Standard"/>
            </w:pPr>
            <w:r>
              <w:t xml:space="preserve">Wählen Sie eine vordefinierte </w:t>
            </w:r>
            <w:r>
              <w:rPr>
                <w:rStyle w:val="SAPScreenElement"/>
              </w:rPr>
              <w:t>Automatische Prozedur</w:t>
            </w:r>
            <w:r>
              <w:t xml:space="preserve"> aus, z.B. </w:t>
            </w:r>
            <w:r>
              <w:rPr>
                <w:rStyle w:val="SAPScreenElement"/>
              </w:rPr>
              <w:t>Kundenaufträge gegen ILM-Aufbewahrungsregeln prüfen</w:t>
            </w:r>
            <w:r>
              <w:t>, und öffnen Sie die Detailseite.</w:t>
            </w:r>
          </w:p>
          <w:p w:rsidR="006E388F" w:rsidRDefault="007E1694">
            <w:pPr>
              <w:pStyle w:val="Standard"/>
            </w:pPr>
            <w:r>
              <w:t xml:space="preserve">Wählen Sie oben rechts auf der Seite </w:t>
            </w:r>
            <w:r>
              <w:rPr>
                <w:rStyle w:val="SAPScreenElement"/>
              </w:rPr>
              <w:t>Bearbeiten</w:t>
            </w:r>
            <w:r>
              <w:t>.</w:t>
            </w:r>
          </w:p>
          <w:p w:rsidR="006E388F" w:rsidRDefault="007E1694">
            <w:pPr>
              <w:pStyle w:val="Standard"/>
            </w:pPr>
            <w:r>
              <w:t xml:space="preserve">Geben Sie im Abschnitt </w:t>
            </w:r>
            <w:r>
              <w:rPr>
                <w:rStyle w:val="SAPScreenElement"/>
              </w:rPr>
              <w:t>Beschreibung</w:t>
            </w:r>
            <w:r>
              <w:t xml:space="preserve"> die entsprechende Information ein.</w:t>
            </w:r>
          </w:p>
          <w:p w:rsidR="006E388F" w:rsidRDefault="007E1694">
            <w:pPr>
              <w:pStyle w:val="Standard"/>
            </w:pPr>
            <w:r>
              <w:t xml:space="preserve">Wählen Sie im Abschnitt </w:t>
            </w:r>
            <w:r>
              <w:rPr>
                <w:rStyle w:val="SAPScreenElement"/>
              </w:rPr>
              <w:t>Destination</w:t>
            </w:r>
            <w:r>
              <w:t xml:space="preserve"> die </w:t>
            </w:r>
            <w:r>
              <w:t xml:space="preserve">Option </w:t>
            </w:r>
            <w:r>
              <w:rPr>
                <w:rStyle w:val="SAPScreenElement"/>
              </w:rPr>
              <w:t>Hinzufügen</w:t>
            </w:r>
            <w:r>
              <w:t>, um die entsprechende Destination hinzuzufügen.</w:t>
            </w:r>
          </w:p>
          <w:p w:rsidR="006E388F" w:rsidRDefault="007E1694">
            <w:pPr>
              <w:pStyle w:val="Standard"/>
            </w:pPr>
            <w:r>
              <w:t xml:space="preserve">Behalten Sie im Abschnitt </w:t>
            </w:r>
            <w:r>
              <w:rPr>
                <w:rStyle w:val="SAPScreenElement"/>
              </w:rPr>
              <w:t>Parameter</w:t>
            </w:r>
            <w:r>
              <w:t xml:space="preserve"> diese Werte bei, oder entfernen Sie die Parameter, die nicht verwendet werden sollen.</w:t>
            </w:r>
          </w:p>
          <w:p w:rsidR="006E388F" w:rsidRDefault="007E1694">
            <w:pPr>
              <w:pStyle w:val="Standard"/>
            </w:pPr>
            <w:r>
              <w:t xml:space="preserve">Wählen Sie </w:t>
            </w:r>
            <w:r>
              <w:rPr>
                <w:rStyle w:val="SAPScreenElement"/>
              </w:rPr>
              <w:t>Sichern</w:t>
            </w:r>
            <w:r>
              <w:t>.</w:t>
            </w:r>
          </w:p>
        </w:tc>
        <w:tc>
          <w:tcPr>
            <w:tcW w:w="2861" w:type="dxa"/>
          </w:tcPr>
          <w:p w:rsidR="006E388F" w:rsidRDefault="007E1694">
            <w:pPr>
              <w:pStyle w:val="Standard"/>
            </w:pPr>
            <w:r>
              <w:t>Die automatische Standardprozedur wurde erfolgre</w:t>
            </w:r>
            <w:r>
              <w:t>ich angelegt.</w:t>
            </w:r>
          </w:p>
        </w:tc>
        <w:tc>
          <w:tcPr>
            <w:tcW w:w="2862" w:type="dxa"/>
          </w:tcPr>
          <w:p w:rsidR="006E388F" w:rsidRDefault="006E388F">
            <w:pPr>
              <w:pStyle w:val="Standard"/>
            </w:pPr>
          </w:p>
        </w:tc>
      </w:tr>
      <w:tr w:rsidR="006E388F" w:rsidTr="007E1694">
        <w:tc>
          <w:tcPr>
            <w:tcW w:w="2860" w:type="dxa"/>
          </w:tcPr>
          <w:p w:rsidR="006E388F" w:rsidRDefault="007E1694">
            <w:pPr>
              <w:pStyle w:val="Standard"/>
            </w:pPr>
            <w:r>
              <w:t>3</w:t>
            </w:r>
          </w:p>
        </w:tc>
        <w:tc>
          <w:tcPr>
            <w:tcW w:w="2860" w:type="dxa"/>
          </w:tcPr>
          <w:p w:rsidR="006E388F" w:rsidRDefault="007E1694">
            <w:pPr>
              <w:pStyle w:val="Standard"/>
            </w:pPr>
            <w:r>
              <w:rPr>
                <w:rStyle w:val="SAPEmphasis"/>
              </w:rPr>
              <w:t>Neue Prozedur aktivieren</w:t>
            </w:r>
          </w:p>
        </w:tc>
        <w:tc>
          <w:tcPr>
            <w:tcW w:w="2861" w:type="dxa"/>
          </w:tcPr>
          <w:p w:rsidR="006E388F" w:rsidRDefault="007E1694">
            <w:pPr>
              <w:pStyle w:val="Standard"/>
            </w:pPr>
            <w:r>
              <w:t xml:space="preserve">Wählen Sie </w:t>
            </w:r>
            <w:r>
              <w:rPr>
                <w:rStyle w:val="SAPScreenElement"/>
              </w:rPr>
              <w:t>Aktivieren</w:t>
            </w:r>
            <w:r>
              <w:t>, um die neu angelegte Prozedur zu aktivieren.</w:t>
            </w:r>
          </w:p>
        </w:tc>
        <w:tc>
          <w:tcPr>
            <w:tcW w:w="2861" w:type="dxa"/>
          </w:tcPr>
          <w:p w:rsidR="006E388F" w:rsidRDefault="007E1694">
            <w:pPr>
              <w:pStyle w:val="Standard"/>
            </w:pPr>
            <w:r>
              <w:t>Status der neuen Prozedur ist "Aktiv".</w:t>
            </w:r>
          </w:p>
        </w:tc>
        <w:tc>
          <w:tcPr>
            <w:tcW w:w="2862" w:type="dxa"/>
          </w:tcPr>
          <w:p w:rsidR="006E388F" w:rsidRDefault="006E388F">
            <w:pPr>
              <w:pStyle w:val="Standard"/>
            </w:pPr>
          </w:p>
        </w:tc>
      </w:tr>
      <w:tr w:rsidR="006E388F" w:rsidTr="007E1694">
        <w:tc>
          <w:tcPr>
            <w:tcW w:w="2860" w:type="dxa"/>
          </w:tcPr>
          <w:p w:rsidR="006E388F" w:rsidRDefault="007E1694">
            <w:pPr>
              <w:pStyle w:val="Standard"/>
            </w:pPr>
            <w:r>
              <w:t>2</w:t>
            </w:r>
          </w:p>
        </w:tc>
        <w:tc>
          <w:tcPr>
            <w:tcW w:w="2860" w:type="dxa"/>
          </w:tcPr>
          <w:p w:rsidR="006E388F" w:rsidRDefault="007E1694">
            <w:pPr>
              <w:pStyle w:val="Standard"/>
            </w:pPr>
            <w:r>
              <w:rPr>
                <w:rStyle w:val="SAPEmphasis"/>
              </w:rPr>
              <w:t>Eigene automatische Prozedur anlegen (optional)</w:t>
            </w:r>
          </w:p>
        </w:tc>
        <w:tc>
          <w:tcPr>
            <w:tcW w:w="2861" w:type="dxa"/>
          </w:tcPr>
          <w:p w:rsidR="006E388F" w:rsidRDefault="007E1694">
            <w:pPr>
              <w:pStyle w:val="Standard"/>
            </w:pPr>
            <w:r>
              <w:t xml:space="preserve">Öffnen Sie die Kachel </w:t>
            </w:r>
            <w:r>
              <w:rPr>
                <w:rStyle w:val="SAPScreenElement"/>
              </w:rPr>
              <w:t>Automatische Prozeduren verwalte</w:t>
            </w:r>
            <w:r>
              <w:rPr>
                <w:rStyle w:val="SAPScreenElement"/>
              </w:rPr>
              <w:t>n</w:t>
            </w:r>
            <w:r>
              <w:t>.</w:t>
            </w:r>
          </w:p>
          <w:p w:rsidR="006E388F" w:rsidRDefault="007E1694">
            <w:pPr>
              <w:pStyle w:val="Standard"/>
            </w:pPr>
            <w:r>
              <w:t xml:space="preserve">Wählen Sie oben rechts in der </w:t>
            </w:r>
            <w:r>
              <w:rPr>
                <w:rStyle w:val="SAPScreenElement"/>
              </w:rPr>
              <w:t>Prozedurenliste</w:t>
            </w:r>
            <w:r>
              <w:t xml:space="preserve"> die Option </w:t>
            </w:r>
            <w:r>
              <w:rPr>
                <w:rStyle w:val="SAPScreenElement"/>
              </w:rPr>
              <w:t>Anlegen</w:t>
            </w:r>
            <w:r>
              <w:t>.</w:t>
            </w:r>
          </w:p>
          <w:p w:rsidR="006E388F" w:rsidRDefault="007E1694">
            <w:pPr>
              <w:pStyle w:val="Standard"/>
            </w:pPr>
            <w:r>
              <w:t xml:space="preserve">Geben Sie im Bereich </w:t>
            </w:r>
            <w:r>
              <w:rPr>
                <w:rStyle w:val="SAPScreenElement"/>
              </w:rPr>
              <w:t>Kopf</w:t>
            </w:r>
            <w:r>
              <w:t xml:space="preserve"> folgende Daten ein:</w:t>
            </w:r>
          </w:p>
          <w:p w:rsidR="006E388F" w:rsidRDefault="007E1694">
            <w:pPr>
              <w:pStyle w:val="Standard"/>
            </w:pPr>
            <w:r>
              <w:rPr>
                <w:rStyle w:val="SAPScreenElement"/>
              </w:rPr>
              <w:t>Prozedurname</w:t>
            </w:r>
            <w:r>
              <w:t xml:space="preserve">: </w:t>
            </w:r>
            <w:r>
              <w:rPr>
                <w:rStyle w:val="SAPUserEntry"/>
              </w:rPr>
              <w:t>&lt;Geben Sie die entsprechenden Information ein, z.B. ZAP_SO&gt;</w:t>
            </w:r>
          </w:p>
          <w:p w:rsidR="006E388F" w:rsidRDefault="007E1694">
            <w:pPr>
              <w:pStyle w:val="Standard"/>
            </w:pPr>
            <w:r>
              <w:rPr>
                <w:rStyle w:val="SAPScreenElement"/>
              </w:rPr>
              <w:t>Systemtyp</w:t>
            </w:r>
            <w:r>
              <w:t xml:space="preserve">: </w:t>
            </w:r>
            <w:r>
              <w:rPr>
                <w:rStyle w:val="SAPUserEntry"/>
              </w:rPr>
              <w:t>&lt;aus Auswahlliste auswählen&gt;</w:t>
            </w:r>
          </w:p>
          <w:p w:rsidR="006E388F" w:rsidRDefault="007E1694">
            <w:pPr>
              <w:pStyle w:val="Standard"/>
            </w:pPr>
            <w:r>
              <w:rPr>
                <w:rStyle w:val="SAPScreenElement"/>
              </w:rPr>
              <w:t>Destination</w:t>
            </w:r>
            <w:r>
              <w:t xml:space="preserve">: </w:t>
            </w:r>
            <w:r>
              <w:rPr>
                <w:rStyle w:val="SAPUserEntry"/>
              </w:rPr>
              <w:t xml:space="preserve">&lt;wählen Sie </w:t>
            </w:r>
            <w:r>
              <w:rPr>
                <w:rStyle w:val="SAPUserEntry"/>
              </w:rPr>
              <w:t>einen Wert aus der Wertehilfe&gt;</w:t>
            </w:r>
          </w:p>
          <w:p w:rsidR="006E388F" w:rsidRDefault="007E1694">
            <w:pPr>
              <w:pStyle w:val="Standard"/>
            </w:pPr>
            <w:r>
              <w:rPr>
                <w:rStyle w:val="SAPScreenElement"/>
              </w:rPr>
              <w:t>Art der Quelle</w:t>
            </w:r>
            <w:r>
              <w:t xml:space="preserve">: </w:t>
            </w:r>
            <w:r>
              <w:rPr>
                <w:rStyle w:val="SAPUserEntry"/>
              </w:rPr>
              <w:t>&lt;aus Auswahlliste auswählen&gt;</w:t>
            </w:r>
          </w:p>
          <w:p w:rsidR="006E388F" w:rsidRDefault="007E1694">
            <w:pPr>
              <w:pStyle w:val="Standard"/>
            </w:pPr>
            <w:r>
              <w:rPr>
                <w:rStyle w:val="SAPScreenElement"/>
              </w:rPr>
              <w:t>OData-Service-Name</w:t>
            </w:r>
            <w:r>
              <w:t xml:space="preserve">: </w:t>
            </w:r>
            <w:r>
              <w:rPr>
                <w:rStyle w:val="SAPUserEntry"/>
              </w:rPr>
              <w:t>&lt;Geben Sie die entsprechende Information ein, z.B. /sap/opu/odata/sap/GRCSPG_BASELINE_CONTENT_SRV&gt;</w:t>
            </w:r>
          </w:p>
          <w:p w:rsidR="006E388F" w:rsidRDefault="007E1694">
            <w:pPr>
              <w:pStyle w:val="Standard"/>
            </w:pPr>
            <w:r>
              <w:rPr>
                <w:rStyle w:val="SAPScreenElement"/>
              </w:rPr>
              <w:t>Entitätsname</w:t>
            </w:r>
            <w:r>
              <w:t xml:space="preserve">: </w:t>
            </w:r>
            <w:r>
              <w:rPr>
                <w:rStyle w:val="SAPUserEntry"/>
              </w:rPr>
              <w:t>&lt;geben Sie die entsprechende Information ein, z</w:t>
            </w:r>
            <w:r>
              <w:rPr>
                <w:rStyle w:val="SAPUserEntry"/>
              </w:rPr>
              <w:t>.B. SalesOrderSet&gt;</w:t>
            </w:r>
          </w:p>
          <w:p w:rsidR="006E388F" w:rsidRDefault="007E1694">
            <w:pPr>
              <w:pStyle w:val="Standard"/>
            </w:pPr>
            <w:r>
              <w:rPr>
                <w:rStyle w:val="SAPEmphasis"/>
              </w:rPr>
              <w:t xml:space="preserve">Hinweis </w:t>
            </w:r>
            <w:r>
              <w:t xml:space="preserve">Die weiteren Entitätsnamen sind im Abschnitt </w:t>
            </w:r>
            <w:hyperlink r:id="rId14" w:history="1">
              <w:r>
                <w:t>Anwendungsfälle</w:t>
              </w:r>
            </w:hyperlink>
            <w:r>
              <w:t xml:space="preserve">  [Seite ] </w:t>
            </w:r>
            <w:r>
              <w:fldChar w:fldCharType="begin"/>
            </w:r>
            <w:r>
              <w:instrText xml:space="preserve"> PAGEREF unique_2 </w:instrText>
            </w:r>
            <w:r>
              <w:fldChar w:fldCharType="separate"/>
            </w:r>
            <w:r>
              <w:rPr>
                <w:noProof/>
              </w:rPr>
              <w:t>3</w:t>
            </w:r>
            <w:r>
              <w:fldChar w:fldCharType="end"/>
            </w:r>
            <w:r>
              <w:t xml:space="preserve"> zu finden.</w:t>
            </w:r>
          </w:p>
          <w:p w:rsidR="006E388F" w:rsidRDefault="007E1694">
            <w:pPr>
              <w:pStyle w:val="Standard"/>
            </w:pPr>
            <w:r>
              <w:t xml:space="preserve">Geben Sie im Abschnitt </w:t>
            </w:r>
            <w:r>
              <w:rPr>
                <w:rStyle w:val="SAPScreenElement"/>
              </w:rPr>
              <w:t>Beschreibung</w:t>
            </w:r>
            <w:r>
              <w:t xml:space="preserve"> die entsprechende Information ein.</w:t>
            </w:r>
          </w:p>
          <w:p w:rsidR="006E388F" w:rsidRDefault="007E1694">
            <w:pPr>
              <w:pStyle w:val="Standard"/>
            </w:pPr>
            <w:r>
              <w:t xml:space="preserve">Wählen Sie </w:t>
            </w:r>
            <w:r>
              <w:rPr>
                <w:rStyle w:val="SAPScreenElement"/>
              </w:rPr>
              <w:t>Sichern</w:t>
            </w:r>
            <w:r>
              <w:t>. Wählen</w:t>
            </w:r>
            <w:r>
              <w:t xml:space="preserve"> Sie dann oben rechts auf der Seite </w:t>
            </w:r>
            <w:r>
              <w:rPr>
                <w:rStyle w:val="SAPScreenElement"/>
              </w:rPr>
              <w:t>Bearbeiten</w:t>
            </w:r>
            <w:r>
              <w:t xml:space="preserve">, und navigieren Sie zum Abschnitt </w:t>
            </w:r>
            <w:r>
              <w:rPr>
                <w:rStyle w:val="SAPScreenElement"/>
              </w:rPr>
              <w:t>Laufeinstellungen</w:t>
            </w:r>
            <w:r>
              <w:t xml:space="preserve">, um </w:t>
            </w:r>
            <w:r>
              <w:rPr>
                <w:rStyle w:val="SAPScreenElement"/>
              </w:rPr>
              <w:t>Parameter</w:t>
            </w:r>
            <w:r>
              <w:t xml:space="preserve"> hinzuzufügen.</w:t>
            </w:r>
          </w:p>
          <w:p w:rsidR="006E388F" w:rsidRDefault="007E1694">
            <w:pPr>
              <w:pStyle w:val="Standard"/>
            </w:pPr>
            <w:r>
              <w:t xml:space="preserve">Fügen Sie die vorgeschlagenen Parameter hinzu, die in der Nachricht angezeigt werden, und fügen Sie Ihre eigenen hinzu, z.B. </w:t>
            </w:r>
            <w:r>
              <w:rPr>
                <w:rStyle w:val="SAPUserEntry"/>
              </w:rPr>
              <w:t>Verk</w:t>
            </w:r>
            <w:r>
              <w:rPr>
                <w:rStyle w:val="SAPUserEntry"/>
              </w:rPr>
              <w:t>aufsorg.</w:t>
            </w:r>
          </w:p>
          <w:p w:rsidR="006E388F" w:rsidRDefault="007E1694">
            <w:pPr>
              <w:pStyle w:val="Standard"/>
            </w:pPr>
            <w:r>
              <w:t xml:space="preserve">Wählen Sie </w:t>
            </w:r>
            <w:r>
              <w:rPr>
                <w:rStyle w:val="SAPScreenElement"/>
              </w:rPr>
              <w:t>Sichern und Aktivieren</w:t>
            </w:r>
            <w:r>
              <w:t>, um die neu angelegte Prozedur zu aktivieren.</w:t>
            </w:r>
          </w:p>
          <w:p w:rsidR="006E388F" w:rsidRDefault="007E1694">
            <w:pPr>
              <w:pStyle w:val="Standard"/>
            </w:pPr>
            <w:r>
              <w:rPr>
                <w:rStyle w:val="SAPEmphasis"/>
              </w:rPr>
              <w:t xml:space="preserve">Hinweis </w:t>
            </w:r>
            <w:r>
              <w:t xml:space="preserve">Wenn die Drucktaste nicht angeklickt werden konnte, müssen Sie auf die Generierung der </w:t>
            </w:r>
            <w:r>
              <w:rPr>
                <w:rStyle w:val="SAPScreenElement"/>
              </w:rPr>
              <w:t>Ergebnisdefinition</w:t>
            </w:r>
            <w:r>
              <w:t xml:space="preserve"> warten, oder Sie können erst </w:t>
            </w:r>
            <w:r>
              <w:rPr>
                <w:rStyle w:val="SAPScreenElement"/>
              </w:rPr>
              <w:t>Sichern</w:t>
            </w:r>
            <w:r>
              <w:t xml:space="preserve"> wählen und die P</w:t>
            </w:r>
            <w:r>
              <w:t>rozedur später aktivieren.</w:t>
            </w:r>
          </w:p>
        </w:tc>
        <w:tc>
          <w:tcPr>
            <w:tcW w:w="2861" w:type="dxa"/>
          </w:tcPr>
          <w:p w:rsidR="006E388F" w:rsidRDefault="007E1694">
            <w:pPr>
              <w:pStyle w:val="Standard"/>
            </w:pPr>
            <w:r>
              <w:t>Eine neue Automatische Prozedur wird erfolgreich angelegt und aktiviert.</w:t>
            </w:r>
          </w:p>
        </w:tc>
        <w:tc>
          <w:tcPr>
            <w:tcW w:w="2862" w:type="dxa"/>
          </w:tcPr>
          <w:p w:rsidR="006E388F" w:rsidRDefault="006E388F">
            <w:pPr>
              <w:pStyle w:val="Standard"/>
            </w:pPr>
          </w:p>
        </w:tc>
      </w:tr>
    </w:tbl>
    <w:p w:rsidR="006E388F" w:rsidRDefault="007E1694">
      <w:pPr>
        <w:pStyle w:val="Heading2"/>
      </w:pPr>
      <w:bookmarkStart w:id="24" w:name="unique_11"/>
      <w:bookmarkStart w:id="25" w:name="_Toc52287640"/>
      <w:r>
        <w:t>Controls anlegen</w:t>
      </w:r>
      <w:bookmarkEnd w:id="24"/>
      <w:bookmarkEnd w:id="25"/>
    </w:p>
    <w:p w:rsidR="006E388F" w:rsidRDefault="007E1694">
      <w:pPr>
        <w:pStyle w:val="SAPKeyblockTitle"/>
      </w:pPr>
      <w:r>
        <w:t>Testverwaltung</w:t>
      </w:r>
    </w:p>
    <w:p w:rsidR="006E388F" w:rsidRDefault="007E1694">
      <w:pPr>
        <w:pStyle w:val="Standard"/>
      </w:pPr>
      <w:r>
        <w:t>Kundenprojekt: Füllen Sie die projektbezogenen Teile aus.</w:t>
      </w:r>
    </w:p>
    <w:p w:rsidR="006E388F" w:rsidRDefault="006E388F">
      <w:pPr>
        <w:pStyle w:val="Standard"/>
      </w:pPr>
    </w:p>
    <w:tbl>
      <w:tblPr>
        <w:tblW w:w="1430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10" w:type="dxa"/>
          <w:right w:w="10" w:type="dxa"/>
        </w:tblCellMar>
        <w:tblLook w:val="0000" w:firstRow="0" w:lastRow="0" w:firstColumn="0" w:lastColumn="0" w:noHBand="0" w:noVBand="0"/>
      </w:tblPr>
      <w:tblGrid>
        <w:gridCol w:w="2383"/>
        <w:gridCol w:w="2384"/>
        <w:gridCol w:w="2384"/>
        <w:gridCol w:w="2384"/>
        <w:gridCol w:w="2384"/>
        <w:gridCol w:w="2385"/>
      </w:tblGrid>
      <w:tr w:rsidR="006E388F" w:rsidTr="007E1694">
        <w:tblPrEx>
          <w:tblCellMar>
            <w:top w:w="0" w:type="dxa"/>
            <w:bottom w:w="0" w:type="dxa"/>
          </w:tblCellMar>
        </w:tblPrEx>
        <w:tc>
          <w:tcPr>
            <w:tcW w:w="2384" w:type="dxa"/>
            <w:shd w:val="clear" w:color="auto" w:fill="auto"/>
          </w:tcPr>
          <w:p w:rsidR="006E388F" w:rsidRDefault="007E1694">
            <w:pPr>
              <w:pStyle w:val="Standard"/>
            </w:pPr>
            <w:r>
              <w:rPr>
                <w:rStyle w:val="SAPEmphasis"/>
              </w:rPr>
              <w:t>Testfall-ID</w:t>
            </w:r>
          </w:p>
        </w:tc>
        <w:tc>
          <w:tcPr>
            <w:tcW w:w="2384" w:type="dxa"/>
            <w:shd w:val="clear" w:color="auto" w:fill="auto"/>
          </w:tcPr>
          <w:p w:rsidR="006E388F" w:rsidRDefault="007E1694">
            <w:pPr>
              <w:pStyle w:val="Standard"/>
            </w:pPr>
            <w:r>
              <w:t>&lt;X.XX&gt;</w:t>
            </w:r>
          </w:p>
        </w:tc>
        <w:tc>
          <w:tcPr>
            <w:tcW w:w="2384" w:type="dxa"/>
            <w:shd w:val="clear" w:color="auto" w:fill="auto"/>
          </w:tcPr>
          <w:p w:rsidR="006E388F" w:rsidRDefault="007E1694">
            <w:pPr>
              <w:pStyle w:val="Standard"/>
            </w:pPr>
            <w:r>
              <w:rPr>
                <w:rStyle w:val="SAPEmphasis"/>
              </w:rPr>
              <w:t>Testername</w:t>
            </w:r>
          </w:p>
        </w:tc>
        <w:tc>
          <w:tcPr>
            <w:tcW w:w="2384" w:type="dxa"/>
            <w:shd w:val="clear" w:color="auto" w:fill="auto"/>
          </w:tcPr>
          <w:p w:rsidR="006E388F" w:rsidRDefault="006E388F">
            <w:pPr>
              <w:pStyle w:val="Standard"/>
            </w:pPr>
          </w:p>
        </w:tc>
        <w:tc>
          <w:tcPr>
            <w:tcW w:w="2384" w:type="dxa"/>
            <w:shd w:val="clear" w:color="auto" w:fill="auto"/>
          </w:tcPr>
          <w:p w:rsidR="006E388F" w:rsidRDefault="007E1694">
            <w:pPr>
              <w:pStyle w:val="Standard"/>
            </w:pPr>
            <w:r>
              <w:rPr>
                <w:rStyle w:val="SAPEmphasis"/>
              </w:rPr>
              <w:t>Testdatum</w:t>
            </w:r>
          </w:p>
        </w:tc>
        <w:tc>
          <w:tcPr>
            <w:tcW w:w="2385" w:type="dxa"/>
            <w:shd w:val="clear" w:color="auto" w:fill="auto"/>
          </w:tcPr>
          <w:p w:rsidR="006E388F" w:rsidRDefault="007E1694">
            <w:pPr>
              <w:pStyle w:val="Standard"/>
            </w:pPr>
            <w:r>
              <w:rPr>
                <w:rStyle w:val="SAPUserEntry"/>
              </w:rPr>
              <w:t xml:space="preserve">Geben Sie ein </w:t>
            </w:r>
            <w:r>
              <w:rPr>
                <w:rStyle w:val="SAPUserEntry"/>
              </w:rPr>
              <w:t>Testdatum ein.</w:t>
            </w:r>
          </w:p>
        </w:tc>
      </w:tr>
      <w:tr w:rsidR="006E388F" w:rsidTr="007E1694">
        <w:tblPrEx>
          <w:tblCellMar>
            <w:top w:w="0" w:type="dxa"/>
            <w:bottom w:w="0" w:type="dxa"/>
          </w:tblCellMar>
        </w:tblPrEx>
        <w:tc>
          <w:tcPr>
            <w:tcW w:w="2384" w:type="dxa"/>
            <w:shd w:val="clear" w:color="auto" w:fill="auto"/>
          </w:tcPr>
          <w:p w:rsidR="006E388F" w:rsidRDefault="007E1694">
            <w:pPr>
              <w:pStyle w:val="Standard"/>
            </w:pPr>
            <w:r>
              <w:t>Benutzerrolle(n)</w:t>
            </w:r>
          </w:p>
        </w:tc>
        <w:tc>
          <w:tcPr>
            <w:tcW w:w="11921" w:type="dxa"/>
            <w:gridSpan w:val="5"/>
            <w:shd w:val="clear" w:color="auto" w:fill="auto"/>
          </w:tcPr>
          <w:p w:rsidR="006E388F" w:rsidRDefault="006E388F">
            <w:pPr>
              <w:pStyle w:val="Standard"/>
            </w:pPr>
          </w:p>
        </w:tc>
      </w:tr>
      <w:tr w:rsidR="006E388F" w:rsidTr="007E1694">
        <w:tblPrEx>
          <w:tblCellMar>
            <w:top w:w="0" w:type="dxa"/>
            <w:bottom w:w="0" w:type="dxa"/>
          </w:tblCellMar>
        </w:tblPrEx>
        <w:tc>
          <w:tcPr>
            <w:tcW w:w="2384" w:type="dxa"/>
            <w:shd w:val="clear" w:color="auto" w:fill="auto"/>
          </w:tcPr>
          <w:p w:rsidR="006E388F" w:rsidRDefault="007E1694">
            <w:pPr>
              <w:pStyle w:val="Standard"/>
            </w:pPr>
            <w:r>
              <w:rPr>
                <w:rStyle w:val="SAPEmphasis"/>
              </w:rPr>
              <w:t>Verantwortungsbereich</w:t>
            </w:r>
          </w:p>
        </w:tc>
        <w:tc>
          <w:tcPr>
            <w:tcW w:w="7152" w:type="dxa"/>
            <w:gridSpan w:val="3"/>
            <w:shd w:val="clear" w:color="auto" w:fill="auto"/>
          </w:tcPr>
          <w:p w:rsidR="006E388F" w:rsidRDefault="007E1694">
            <w:pPr>
              <w:pStyle w:val="Standard"/>
            </w:pPr>
            <w:r>
              <w:rPr>
                <w:rStyle w:val="SAPUserEntry"/>
              </w:rPr>
              <w:t>&lt;Geben Sie den Serviceanbieter, einen Kunden oder einen Serviceanbieter zusammen mit einem Kunden an.&gt;</w:t>
            </w:r>
          </w:p>
        </w:tc>
        <w:tc>
          <w:tcPr>
            <w:tcW w:w="2384" w:type="dxa"/>
            <w:shd w:val="clear" w:color="auto" w:fill="auto"/>
          </w:tcPr>
          <w:p w:rsidR="006E388F" w:rsidRDefault="007E1694">
            <w:pPr>
              <w:pStyle w:val="Standard"/>
            </w:pPr>
            <w:r>
              <w:rPr>
                <w:rStyle w:val="SAPEmphasis"/>
              </w:rPr>
              <w:t>Dauer</w:t>
            </w:r>
          </w:p>
        </w:tc>
        <w:tc>
          <w:tcPr>
            <w:tcW w:w="2385" w:type="dxa"/>
            <w:shd w:val="clear" w:color="auto" w:fill="auto"/>
          </w:tcPr>
          <w:p w:rsidR="006E388F" w:rsidRDefault="007E1694">
            <w:pPr>
              <w:pStyle w:val="Standard"/>
            </w:pPr>
            <w:r>
              <w:rPr>
                <w:rStyle w:val="SAPUserEntry"/>
              </w:rPr>
              <w:t>Geben Sie eine Dauer ein.</w:t>
            </w:r>
          </w:p>
        </w:tc>
      </w:tr>
    </w:tbl>
    <w:p w:rsidR="006E388F" w:rsidRDefault="007E1694">
      <w:pPr>
        <w:pStyle w:val="SAPKeyblockTitle"/>
      </w:pPr>
      <w:r>
        <w:t>Zweck</w:t>
      </w:r>
    </w:p>
    <w:p w:rsidR="006E388F" w:rsidRDefault="007E1694">
      <w:pPr>
        <w:pStyle w:val="Standard"/>
      </w:pPr>
      <w:r>
        <w:t xml:space="preserve">Der Compliance-Spezialist legt ein neues Control an </w:t>
      </w:r>
      <w:r>
        <w:t>oder verwendet die vordefinierte Standardkontrolle, um die automatische Prozedur einzubinden. Dies ist für die folgende Arbeitspaketerstellung obligatorisch.</w:t>
      </w:r>
    </w:p>
    <w:p w:rsidR="006E388F" w:rsidRDefault="007E1694">
      <w:pPr>
        <w:pStyle w:val="SAPKeyblockTitle"/>
      </w:pPr>
      <w:r>
        <w:t>Voraussetzungen</w:t>
      </w:r>
    </w:p>
    <w:p w:rsidR="006E388F" w:rsidRDefault="007E1694">
      <w:pPr>
        <w:pStyle w:val="Standard"/>
      </w:pPr>
      <w:r>
        <w:t>Bevor Sie mit dem Anlegen eines neuen Controls beginnen, vergewissern Sie sich, da</w:t>
      </w:r>
      <w:r>
        <w:t>ss die neu angelegte automatische Prozedur in den oben genannten Schritten erfolgreich aktiviert wurde.</w:t>
      </w:r>
    </w:p>
    <w:p w:rsidR="006E388F" w:rsidRDefault="007E1694">
      <w:pPr>
        <w:pStyle w:val="SAPKeyblockTitle"/>
      </w:pPr>
      <w:r>
        <w:t>Vorgehensweise</w:t>
      </w:r>
    </w:p>
    <w:tbl>
      <w:tblPr>
        <w:tblStyle w:val="SAPStandardTable"/>
        <w:tblW w:w="14304" w:type="dxa"/>
        <w:tblInd w:w="0" w:type="dxa"/>
        <w:tblLayout w:type="fixed"/>
        <w:tblLook w:val="0620" w:firstRow="1" w:lastRow="0" w:firstColumn="0" w:lastColumn="0" w:noHBand="1" w:noVBand="1"/>
      </w:tblPr>
      <w:tblGrid>
        <w:gridCol w:w="2860"/>
        <w:gridCol w:w="2860"/>
        <w:gridCol w:w="2861"/>
        <w:gridCol w:w="2861"/>
        <w:gridCol w:w="2862"/>
      </w:tblGrid>
      <w:tr w:rsidR="006E388F" w:rsidTr="007E1694">
        <w:trPr>
          <w:cnfStyle w:val="100000000000" w:firstRow="1" w:lastRow="0" w:firstColumn="0" w:lastColumn="0" w:oddVBand="0" w:evenVBand="0" w:oddHBand="0" w:evenHBand="0" w:firstRowFirstColumn="0" w:firstRowLastColumn="0" w:lastRowFirstColumn="0" w:lastRowLastColumn="0"/>
        </w:trPr>
        <w:tc>
          <w:tcPr>
            <w:tcW w:w="2860" w:type="dxa"/>
          </w:tcPr>
          <w:p w:rsidR="006E388F" w:rsidRDefault="007E1694">
            <w:pPr>
              <w:pStyle w:val="SAPTableHeader"/>
            </w:pPr>
            <w:r>
              <w:t>Testschrittnummer</w:t>
            </w:r>
          </w:p>
        </w:tc>
        <w:tc>
          <w:tcPr>
            <w:tcW w:w="2860" w:type="dxa"/>
          </w:tcPr>
          <w:p w:rsidR="006E388F" w:rsidRDefault="007E1694">
            <w:pPr>
              <w:pStyle w:val="SAPTableHeader"/>
            </w:pPr>
            <w:r>
              <w:t>Bezeichnung des Testschritts</w:t>
            </w:r>
          </w:p>
        </w:tc>
        <w:tc>
          <w:tcPr>
            <w:tcW w:w="2861" w:type="dxa"/>
          </w:tcPr>
          <w:p w:rsidR="006E388F" w:rsidRDefault="007E1694">
            <w:pPr>
              <w:pStyle w:val="SAPTableHeader"/>
            </w:pPr>
            <w:r>
              <w:t>Anweisungen</w:t>
            </w:r>
          </w:p>
        </w:tc>
        <w:tc>
          <w:tcPr>
            <w:tcW w:w="2861" w:type="dxa"/>
          </w:tcPr>
          <w:p w:rsidR="006E388F" w:rsidRDefault="007E1694">
            <w:pPr>
              <w:pStyle w:val="SAPTableHeader"/>
            </w:pPr>
            <w:r>
              <w:t>Erwartetes Ergebnis</w:t>
            </w:r>
          </w:p>
        </w:tc>
        <w:tc>
          <w:tcPr>
            <w:tcW w:w="2862" w:type="dxa"/>
          </w:tcPr>
          <w:p w:rsidR="006E388F" w:rsidRDefault="007E1694">
            <w:pPr>
              <w:pStyle w:val="SAPTableHeader"/>
            </w:pPr>
            <w:r>
              <w:t>Bestanden/Nicht bestanden/Anmerkung</w:t>
            </w:r>
          </w:p>
        </w:tc>
      </w:tr>
      <w:tr w:rsidR="006E388F" w:rsidTr="007E1694">
        <w:tc>
          <w:tcPr>
            <w:tcW w:w="2860" w:type="dxa"/>
          </w:tcPr>
          <w:p w:rsidR="006E388F" w:rsidRDefault="007E1694">
            <w:pPr>
              <w:pStyle w:val="Standard"/>
            </w:pPr>
            <w:r>
              <w:t>1</w:t>
            </w:r>
          </w:p>
        </w:tc>
        <w:tc>
          <w:tcPr>
            <w:tcW w:w="2860" w:type="dxa"/>
          </w:tcPr>
          <w:p w:rsidR="006E388F" w:rsidRDefault="007E1694">
            <w:pPr>
              <w:pStyle w:val="Standard"/>
            </w:pPr>
            <w:r>
              <w:rPr>
                <w:rStyle w:val="SAPEmphasis"/>
              </w:rPr>
              <w:t>Anmelden</w:t>
            </w:r>
          </w:p>
        </w:tc>
        <w:tc>
          <w:tcPr>
            <w:tcW w:w="2861" w:type="dxa"/>
          </w:tcPr>
          <w:p w:rsidR="006E388F" w:rsidRDefault="007E1694">
            <w:pPr>
              <w:pStyle w:val="Standard"/>
            </w:pPr>
            <w:r>
              <w:t>Melden Sie sich an SAP Privacy Governance als Spezialist an.</w:t>
            </w:r>
          </w:p>
        </w:tc>
        <w:tc>
          <w:tcPr>
            <w:tcW w:w="2861" w:type="dxa"/>
          </w:tcPr>
          <w:p w:rsidR="006E388F" w:rsidRDefault="006E388F">
            <w:pPr>
              <w:pStyle w:val="Standard"/>
            </w:pPr>
          </w:p>
        </w:tc>
        <w:tc>
          <w:tcPr>
            <w:tcW w:w="2862" w:type="dxa"/>
          </w:tcPr>
          <w:p w:rsidR="006E388F" w:rsidRDefault="006E388F">
            <w:pPr>
              <w:pStyle w:val="Standard"/>
            </w:pPr>
          </w:p>
        </w:tc>
      </w:tr>
      <w:tr w:rsidR="006E388F" w:rsidTr="007E1694">
        <w:tc>
          <w:tcPr>
            <w:tcW w:w="2860" w:type="dxa"/>
          </w:tcPr>
          <w:p w:rsidR="006E388F" w:rsidRDefault="007E1694">
            <w:pPr>
              <w:pStyle w:val="Standard"/>
            </w:pPr>
            <w:r>
              <w:t>2</w:t>
            </w:r>
          </w:p>
        </w:tc>
        <w:tc>
          <w:tcPr>
            <w:tcW w:w="2860" w:type="dxa"/>
          </w:tcPr>
          <w:p w:rsidR="006E388F" w:rsidRDefault="007E1694">
            <w:pPr>
              <w:pStyle w:val="Standard"/>
            </w:pPr>
            <w:r>
              <w:rPr>
                <w:rStyle w:val="SAPEmphasis"/>
              </w:rPr>
              <w:t>Control anlegen</w:t>
            </w:r>
          </w:p>
        </w:tc>
        <w:tc>
          <w:tcPr>
            <w:tcW w:w="2861" w:type="dxa"/>
          </w:tcPr>
          <w:p w:rsidR="006E388F" w:rsidRDefault="007E1694">
            <w:pPr>
              <w:pStyle w:val="Standard"/>
            </w:pPr>
            <w:r>
              <w:rPr>
                <w:rStyle w:val="SAPEmphasis"/>
              </w:rPr>
              <w:t xml:space="preserve">Hinweis </w:t>
            </w:r>
            <w:r>
              <w:t xml:space="preserve">Sie können die vorhandenen Stichprobenmaßnahmen entweder direkt bearbeiten, z.B. </w:t>
            </w:r>
            <w:r>
              <w:rPr>
                <w:rStyle w:val="SAPScreenElement"/>
              </w:rPr>
              <w:t>Kundenaufträge werden vernichtet, wenn ihr Aufbewahrungszeitraum abgelaufen ist</w:t>
            </w:r>
            <w:r>
              <w:t>, oder</w:t>
            </w:r>
            <w:r>
              <w:t xml:space="preserve"> Sie legen einen neuen an.</w:t>
            </w:r>
          </w:p>
          <w:p w:rsidR="006E388F" w:rsidRDefault="007E1694">
            <w:pPr>
              <w:pStyle w:val="Standard"/>
            </w:pPr>
            <w:r>
              <w:t xml:space="preserve">Öffnen Sie die Kachel </w:t>
            </w:r>
            <w:r>
              <w:rPr>
                <w:rStyle w:val="SAPScreenElement"/>
              </w:rPr>
              <w:t>Maßnahmen verwalten</w:t>
            </w:r>
            <w:r>
              <w:t>.</w:t>
            </w:r>
          </w:p>
          <w:p w:rsidR="006E388F" w:rsidRDefault="007E1694">
            <w:pPr>
              <w:pStyle w:val="Standard"/>
            </w:pPr>
            <w:r>
              <w:t xml:space="preserve">Wählen Sie oben rechts in der </w:t>
            </w:r>
            <w:r>
              <w:rPr>
                <w:rStyle w:val="SAPScreenElement"/>
              </w:rPr>
              <w:t>Liste von Controls</w:t>
            </w:r>
            <w:r>
              <w:t xml:space="preserve"> die Option </w:t>
            </w:r>
            <w:r>
              <w:rPr>
                <w:rStyle w:val="SAPScreenElement"/>
              </w:rPr>
              <w:t>Anlegen</w:t>
            </w:r>
            <w:r>
              <w:t>.</w:t>
            </w:r>
          </w:p>
        </w:tc>
        <w:tc>
          <w:tcPr>
            <w:tcW w:w="2861" w:type="dxa"/>
          </w:tcPr>
          <w:p w:rsidR="006E388F" w:rsidRDefault="007E1694">
            <w:pPr>
              <w:pStyle w:val="Standard"/>
            </w:pPr>
            <w:r>
              <w:t>Auf der rechten Seite des Bildschirms wird die Seite "Neues Control" angezeigt.</w:t>
            </w:r>
          </w:p>
        </w:tc>
        <w:tc>
          <w:tcPr>
            <w:tcW w:w="2862" w:type="dxa"/>
          </w:tcPr>
          <w:p w:rsidR="006E388F" w:rsidRDefault="006E388F">
            <w:pPr>
              <w:pStyle w:val="Standard"/>
            </w:pPr>
          </w:p>
        </w:tc>
      </w:tr>
      <w:tr w:rsidR="006E388F" w:rsidTr="007E1694">
        <w:tc>
          <w:tcPr>
            <w:tcW w:w="2860" w:type="dxa"/>
          </w:tcPr>
          <w:p w:rsidR="006E388F" w:rsidRDefault="007E1694">
            <w:pPr>
              <w:pStyle w:val="Standard"/>
            </w:pPr>
            <w:r>
              <w:t>3</w:t>
            </w:r>
          </w:p>
        </w:tc>
        <w:tc>
          <w:tcPr>
            <w:tcW w:w="2860" w:type="dxa"/>
          </w:tcPr>
          <w:p w:rsidR="006E388F" w:rsidRDefault="007E1694">
            <w:pPr>
              <w:pStyle w:val="Standard"/>
            </w:pPr>
            <w:r>
              <w:rPr>
                <w:rStyle w:val="SAPEmphasis"/>
              </w:rPr>
              <w:t>Informationen für neues Control e</w:t>
            </w:r>
            <w:r>
              <w:rPr>
                <w:rStyle w:val="SAPEmphasis"/>
              </w:rPr>
              <w:t>ingeben</w:t>
            </w:r>
          </w:p>
        </w:tc>
        <w:tc>
          <w:tcPr>
            <w:tcW w:w="2861" w:type="dxa"/>
          </w:tcPr>
          <w:p w:rsidR="006E388F" w:rsidRDefault="007E1694">
            <w:pPr>
              <w:pStyle w:val="Standard"/>
            </w:pPr>
            <w:r>
              <w:t xml:space="preserve">Geben Sie im Bereich </w:t>
            </w:r>
            <w:r>
              <w:rPr>
                <w:rStyle w:val="SAPScreenElement"/>
              </w:rPr>
              <w:t>Allgemeine Informationen</w:t>
            </w:r>
            <w:r>
              <w:t xml:space="preserve"> folgende Daten ein:</w:t>
            </w:r>
          </w:p>
          <w:p w:rsidR="006E388F" w:rsidRDefault="007E1694">
            <w:pPr>
              <w:pStyle w:val="Standard"/>
            </w:pPr>
            <w:r>
              <w:rPr>
                <w:rStyle w:val="SAPScreenElement"/>
              </w:rPr>
              <w:t>Name</w:t>
            </w:r>
            <w:r>
              <w:t xml:space="preserve">: </w:t>
            </w:r>
            <w:r>
              <w:rPr>
                <w:rStyle w:val="SAPUserEntry"/>
              </w:rPr>
              <w:t>&lt;Geben Sie die entsprechenden Information ein, z.B. ZControl_SO&gt;</w:t>
            </w:r>
          </w:p>
          <w:p w:rsidR="006E388F" w:rsidRDefault="007E1694">
            <w:pPr>
              <w:pStyle w:val="Standard"/>
            </w:pPr>
            <w:r>
              <w:rPr>
                <w:rStyle w:val="SAPScreenElement"/>
              </w:rPr>
              <w:t>Gültig ab</w:t>
            </w:r>
            <w:r>
              <w:t xml:space="preserve">: </w:t>
            </w:r>
            <w:r>
              <w:rPr>
                <w:rStyle w:val="SAPUserEntry"/>
              </w:rPr>
              <w:t>&lt;Entsprechend auswählen, z.B. heute&gt;</w:t>
            </w:r>
          </w:p>
          <w:p w:rsidR="006E388F" w:rsidRDefault="007E1694">
            <w:pPr>
              <w:pStyle w:val="Standard"/>
            </w:pPr>
            <w:r>
              <w:rPr>
                <w:rStyle w:val="SAPScreenElement"/>
              </w:rPr>
              <w:t>Gültig bis</w:t>
            </w:r>
            <w:r>
              <w:t xml:space="preserve">: </w:t>
            </w:r>
            <w:r>
              <w:rPr>
                <w:rStyle w:val="SAPUserEntry"/>
              </w:rPr>
              <w:t>&lt;Ensprechend auswählen, z.B. Ende des laufenden Mon</w:t>
            </w:r>
            <w:r>
              <w:rPr>
                <w:rStyle w:val="SAPUserEntry"/>
              </w:rPr>
              <w:t>ats.&gt;</w:t>
            </w:r>
          </w:p>
          <w:p w:rsidR="006E388F" w:rsidRDefault="007E1694">
            <w:pPr>
              <w:pStyle w:val="Standard"/>
            </w:pPr>
            <w:r>
              <w:rPr>
                <w:rStyle w:val="SAPScreenElement"/>
              </w:rPr>
              <w:t>Signifikanz</w:t>
            </w:r>
            <w:r>
              <w:t xml:space="preserve">: </w:t>
            </w:r>
            <w:r>
              <w:rPr>
                <w:rStyle w:val="SAPUserEntry"/>
              </w:rPr>
              <w:t>&lt;Wählen Sie aus der Auswahlliste, z.B. Standard.&gt;</w:t>
            </w:r>
          </w:p>
          <w:p w:rsidR="006E388F" w:rsidRDefault="007E1694">
            <w:pPr>
              <w:pStyle w:val="Standard"/>
            </w:pPr>
            <w:r>
              <w:rPr>
                <w:rStyle w:val="SAPScreenElement"/>
              </w:rPr>
              <w:t>Control Risk Level</w:t>
            </w:r>
            <w:r>
              <w:t xml:space="preserve">: </w:t>
            </w:r>
            <w:r>
              <w:rPr>
                <w:rStyle w:val="SAPUserEntry"/>
              </w:rPr>
              <w:t>&lt;Wählen Sie aus der Auswahlliste, z.B. Mittel&gt;.</w:t>
            </w:r>
          </w:p>
          <w:p w:rsidR="006E388F" w:rsidRDefault="007E1694">
            <w:pPr>
              <w:pStyle w:val="Standard"/>
            </w:pPr>
            <w:r>
              <w:rPr>
                <w:rStyle w:val="SAPScreenElement"/>
              </w:rPr>
              <w:t>Vorgangshäufigkeit</w:t>
            </w:r>
            <w:r>
              <w:t xml:space="preserve">: </w:t>
            </w:r>
            <w:r>
              <w:rPr>
                <w:rStyle w:val="SAPUserEntry"/>
              </w:rPr>
              <w:t>&lt;Wählen Sie aus der Auswahlliste , z.B. Beliebige Häufigkeit&gt;</w:t>
            </w:r>
          </w:p>
          <w:p w:rsidR="006E388F" w:rsidRDefault="007E1694">
            <w:pPr>
              <w:pStyle w:val="Standard"/>
            </w:pPr>
            <w:r>
              <w:t xml:space="preserve">Geben Sie im Abschnitt </w:t>
            </w:r>
            <w:r>
              <w:rPr>
                <w:rStyle w:val="SAPScreenElement"/>
              </w:rPr>
              <w:t>Beschreibung</w:t>
            </w:r>
            <w:r>
              <w:t xml:space="preserve"> die entsprechende Information ein.</w:t>
            </w:r>
          </w:p>
          <w:p w:rsidR="006E388F" w:rsidRDefault="007E1694">
            <w:pPr>
              <w:pStyle w:val="Standard"/>
            </w:pPr>
            <w:r>
              <w:t xml:space="preserve">Wählen Sie </w:t>
            </w:r>
            <w:r>
              <w:rPr>
                <w:rStyle w:val="SAPScreenElement"/>
              </w:rPr>
              <w:t>Anlegen</w:t>
            </w:r>
            <w:r>
              <w:t>.</w:t>
            </w:r>
          </w:p>
        </w:tc>
        <w:tc>
          <w:tcPr>
            <w:tcW w:w="2861" w:type="dxa"/>
          </w:tcPr>
          <w:p w:rsidR="006E388F" w:rsidRDefault="007E1694">
            <w:pPr>
              <w:pStyle w:val="Standard"/>
            </w:pPr>
            <w:r>
              <w:t>Ein neues Control wird angelegt.</w:t>
            </w:r>
          </w:p>
        </w:tc>
        <w:tc>
          <w:tcPr>
            <w:tcW w:w="2862" w:type="dxa"/>
          </w:tcPr>
          <w:p w:rsidR="006E388F" w:rsidRDefault="006E388F">
            <w:pPr>
              <w:pStyle w:val="Standard"/>
            </w:pPr>
          </w:p>
        </w:tc>
      </w:tr>
      <w:tr w:rsidR="006E388F" w:rsidTr="007E1694">
        <w:tc>
          <w:tcPr>
            <w:tcW w:w="2860" w:type="dxa"/>
          </w:tcPr>
          <w:p w:rsidR="006E388F" w:rsidRDefault="007E1694">
            <w:pPr>
              <w:pStyle w:val="Standard"/>
            </w:pPr>
            <w:r>
              <w:t>4</w:t>
            </w:r>
          </w:p>
        </w:tc>
        <w:tc>
          <w:tcPr>
            <w:tcW w:w="2860" w:type="dxa"/>
          </w:tcPr>
          <w:p w:rsidR="006E388F" w:rsidRDefault="007E1694">
            <w:pPr>
              <w:pStyle w:val="Standard"/>
            </w:pPr>
            <w:r>
              <w:rPr>
                <w:rStyle w:val="SAPEmphasis"/>
              </w:rPr>
              <w:t>Automatische Prozedur zu Control zuordnen</w:t>
            </w:r>
          </w:p>
        </w:tc>
        <w:tc>
          <w:tcPr>
            <w:tcW w:w="2861" w:type="dxa"/>
          </w:tcPr>
          <w:p w:rsidR="006E388F" w:rsidRDefault="007E1694">
            <w:pPr>
              <w:pStyle w:val="Standard"/>
            </w:pPr>
            <w:r>
              <w:t>Wählen Sie das neu angelegte Control aus, und führen Sie einen Drilldown auf die Detailseite durch.</w:t>
            </w:r>
          </w:p>
          <w:p w:rsidR="006E388F" w:rsidRDefault="007E1694">
            <w:pPr>
              <w:pStyle w:val="Standard"/>
            </w:pPr>
            <w:r>
              <w:t>Navigiere</w:t>
            </w:r>
            <w:r>
              <w:t xml:space="preserve">n Sie zum Abschnitt </w:t>
            </w:r>
            <w:r>
              <w:rPr>
                <w:rStyle w:val="SAPScreenElement"/>
              </w:rPr>
              <w:t>Zugehörige Objekte</w:t>
            </w:r>
            <w:r>
              <w:t xml:space="preserve"> . Klicken Sie unter der Kachel </w:t>
            </w:r>
            <w:r>
              <w:rPr>
                <w:rStyle w:val="SAPScreenElement"/>
              </w:rPr>
              <w:t>Prozeduren</w:t>
            </w:r>
            <w:r>
              <w:t xml:space="preserve"> auf </w:t>
            </w:r>
            <w:r>
              <w:rPr>
                <w:rStyle w:val="SAPScreenElement"/>
              </w:rPr>
              <w:t>Hinzufügen</w:t>
            </w:r>
            <w:r>
              <w:t xml:space="preserve">, und wählen Sie </w:t>
            </w:r>
            <w:r>
              <w:rPr>
                <w:rStyle w:val="SAPScreenElement"/>
              </w:rPr>
              <w:t>Automatische Prozeduren</w:t>
            </w:r>
            <w:r>
              <w:t>.</w:t>
            </w:r>
          </w:p>
          <w:p w:rsidR="006E388F" w:rsidRDefault="007E1694">
            <w:pPr>
              <w:pStyle w:val="Standard"/>
            </w:pPr>
            <w:r>
              <w:t xml:space="preserve">Suchen Sie nach der oben angelegten neuen automatischen Prozedur, markieren Sie sie per Mausklick, und wählen Sie </w:t>
            </w:r>
            <w:r>
              <w:rPr>
                <w:rStyle w:val="SAPScreenElement"/>
              </w:rPr>
              <w:t>Auswählen</w:t>
            </w:r>
            <w:r>
              <w:t>.</w:t>
            </w:r>
          </w:p>
        </w:tc>
        <w:tc>
          <w:tcPr>
            <w:tcW w:w="2861" w:type="dxa"/>
          </w:tcPr>
          <w:p w:rsidR="006E388F" w:rsidRDefault="007E1694">
            <w:pPr>
              <w:pStyle w:val="Standard"/>
            </w:pPr>
            <w:r>
              <w:t>Die automatische Prozedur wurde dem Control erfolgreich zugeordnet.</w:t>
            </w:r>
          </w:p>
        </w:tc>
        <w:tc>
          <w:tcPr>
            <w:tcW w:w="2862" w:type="dxa"/>
          </w:tcPr>
          <w:p w:rsidR="006E388F" w:rsidRDefault="006E388F">
            <w:pPr>
              <w:pStyle w:val="Standard"/>
            </w:pPr>
          </w:p>
        </w:tc>
      </w:tr>
    </w:tbl>
    <w:p w:rsidR="006E388F" w:rsidRDefault="007E1694">
      <w:pPr>
        <w:pStyle w:val="Heading2"/>
      </w:pPr>
      <w:bookmarkStart w:id="26" w:name="unique_12"/>
      <w:bookmarkStart w:id="27" w:name="_Toc52287641"/>
      <w:r>
        <w:t>Arbeitspaket anlegen</w:t>
      </w:r>
      <w:bookmarkEnd w:id="26"/>
      <w:bookmarkEnd w:id="27"/>
    </w:p>
    <w:p w:rsidR="006E388F" w:rsidRDefault="007E1694">
      <w:pPr>
        <w:pStyle w:val="SAPKeyblockTitle"/>
      </w:pPr>
      <w:r>
        <w:t>Testverwaltung</w:t>
      </w:r>
    </w:p>
    <w:p w:rsidR="006E388F" w:rsidRDefault="007E1694">
      <w:pPr>
        <w:pStyle w:val="Standard"/>
      </w:pPr>
      <w:r>
        <w:t>Kundenprojekt: Füllen Sie die projektbezogenen Teile aus.</w:t>
      </w:r>
    </w:p>
    <w:p w:rsidR="006E388F" w:rsidRDefault="006E388F">
      <w:pPr>
        <w:pStyle w:val="Standard"/>
      </w:pPr>
    </w:p>
    <w:tbl>
      <w:tblPr>
        <w:tblW w:w="1430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10" w:type="dxa"/>
          <w:right w:w="10" w:type="dxa"/>
        </w:tblCellMar>
        <w:tblLook w:val="0000" w:firstRow="0" w:lastRow="0" w:firstColumn="0" w:lastColumn="0" w:noHBand="0" w:noVBand="0"/>
      </w:tblPr>
      <w:tblGrid>
        <w:gridCol w:w="2383"/>
        <w:gridCol w:w="2384"/>
        <w:gridCol w:w="2384"/>
        <w:gridCol w:w="2384"/>
        <w:gridCol w:w="2384"/>
        <w:gridCol w:w="2385"/>
      </w:tblGrid>
      <w:tr w:rsidR="006E388F" w:rsidTr="007E1694">
        <w:tblPrEx>
          <w:tblCellMar>
            <w:top w:w="0" w:type="dxa"/>
            <w:bottom w:w="0" w:type="dxa"/>
          </w:tblCellMar>
        </w:tblPrEx>
        <w:tc>
          <w:tcPr>
            <w:tcW w:w="2384" w:type="dxa"/>
            <w:shd w:val="clear" w:color="auto" w:fill="auto"/>
          </w:tcPr>
          <w:p w:rsidR="006E388F" w:rsidRDefault="007E1694">
            <w:pPr>
              <w:pStyle w:val="Standard"/>
            </w:pPr>
            <w:r>
              <w:rPr>
                <w:rStyle w:val="SAPEmphasis"/>
              </w:rPr>
              <w:t>Testfall-ID</w:t>
            </w:r>
          </w:p>
        </w:tc>
        <w:tc>
          <w:tcPr>
            <w:tcW w:w="2384" w:type="dxa"/>
            <w:shd w:val="clear" w:color="auto" w:fill="auto"/>
          </w:tcPr>
          <w:p w:rsidR="006E388F" w:rsidRDefault="007E1694">
            <w:pPr>
              <w:pStyle w:val="Standard"/>
            </w:pPr>
            <w:r>
              <w:t>&lt;X.XX&gt;</w:t>
            </w:r>
          </w:p>
        </w:tc>
        <w:tc>
          <w:tcPr>
            <w:tcW w:w="2384" w:type="dxa"/>
            <w:shd w:val="clear" w:color="auto" w:fill="auto"/>
          </w:tcPr>
          <w:p w:rsidR="006E388F" w:rsidRDefault="007E1694">
            <w:pPr>
              <w:pStyle w:val="Standard"/>
            </w:pPr>
            <w:r>
              <w:rPr>
                <w:rStyle w:val="SAPEmphasis"/>
              </w:rPr>
              <w:t>Testername</w:t>
            </w:r>
          </w:p>
        </w:tc>
        <w:tc>
          <w:tcPr>
            <w:tcW w:w="2384" w:type="dxa"/>
            <w:shd w:val="clear" w:color="auto" w:fill="auto"/>
          </w:tcPr>
          <w:p w:rsidR="006E388F" w:rsidRDefault="006E388F">
            <w:pPr>
              <w:pStyle w:val="Standard"/>
            </w:pPr>
          </w:p>
        </w:tc>
        <w:tc>
          <w:tcPr>
            <w:tcW w:w="2384" w:type="dxa"/>
            <w:shd w:val="clear" w:color="auto" w:fill="auto"/>
          </w:tcPr>
          <w:p w:rsidR="006E388F" w:rsidRDefault="007E1694">
            <w:pPr>
              <w:pStyle w:val="Standard"/>
            </w:pPr>
            <w:r>
              <w:rPr>
                <w:rStyle w:val="SAPEmphasis"/>
              </w:rPr>
              <w:t>Testdatum</w:t>
            </w:r>
          </w:p>
        </w:tc>
        <w:tc>
          <w:tcPr>
            <w:tcW w:w="2385" w:type="dxa"/>
            <w:shd w:val="clear" w:color="auto" w:fill="auto"/>
          </w:tcPr>
          <w:p w:rsidR="006E388F" w:rsidRDefault="007E1694">
            <w:pPr>
              <w:pStyle w:val="Standard"/>
            </w:pPr>
            <w:r>
              <w:rPr>
                <w:rStyle w:val="SAPUserEntry"/>
              </w:rPr>
              <w:t>Geben Sie ein Testdatum ein.</w:t>
            </w:r>
          </w:p>
        </w:tc>
      </w:tr>
      <w:tr w:rsidR="006E388F" w:rsidTr="007E1694">
        <w:tblPrEx>
          <w:tblCellMar>
            <w:top w:w="0" w:type="dxa"/>
            <w:bottom w:w="0" w:type="dxa"/>
          </w:tblCellMar>
        </w:tblPrEx>
        <w:tc>
          <w:tcPr>
            <w:tcW w:w="2384" w:type="dxa"/>
            <w:shd w:val="clear" w:color="auto" w:fill="auto"/>
          </w:tcPr>
          <w:p w:rsidR="006E388F" w:rsidRDefault="007E1694">
            <w:pPr>
              <w:pStyle w:val="Standard"/>
            </w:pPr>
            <w:r>
              <w:t>Benutzerrolle(n)</w:t>
            </w:r>
          </w:p>
        </w:tc>
        <w:tc>
          <w:tcPr>
            <w:tcW w:w="11921" w:type="dxa"/>
            <w:gridSpan w:val="5"/>
            <w:shd w:val="clear" w:color="auto" w:fill="auto"/>
          </w:tcPr>
          <w:p w:rsidR="006E388F" w:rsidRDefault="006E388F">
            <w:pPr>
              <w:pStyle w:val="Standard"/>
            </w:pPr>
          </w:p>
        </w:tc>
      </w:tr>
      <w:tr w:rsidR="006E388F" w:rsidTr="007E1694">
        <w:tblPrEx>
          <w:tblCellMar>
            <w:top w:w="0" w:type="dxa"/>
            <w:bottom w:w="0" w:type="dxa"/>
          </w:tblCellMar>
        </w:tblPrEx>
        <w:tc>
          <w:tcPr>
            <w:tcW w:w="2384" w:type="dxa"/>
            <w:shd w:val="clear" w:color="auto" w:fill="auto"/>
          </w:tcPr>
          <w:p w:rsidR="006E388F" w:rsidRDefault="007E1694">
            <w:pPr>
              <w:pStyle w:val="Standard"/>
            </w:pPr>
            <w:r>
              <w:rPr>
                <w:rStyle w:val="SAPEmphasis"/>
              </w:rPr>
              <w:t>Verantwortungsbereich</w:t>
            </w:r>
          </w:p>
        </w:tc>
        <w:tc>
          <w:tcPr>
            <w:tcW w:w="7152" w:type="dxa"/>
            <w:gridSpan w:val="3"/>
            <w:shd w:val="clear" w:color="auto" w:fill="auto"/>
          </w:tcPr>
          <w:p w:rsidR="006E388F" w:rsidRDefault="007E1694">
            <w:pPr>
              <w:pStyle w:val="Standard"/>
            </w:pPr>
            <w:r>
              <w:rPr>
                <w:rStyle w:val="SAPUserEntry"/>
              </w:rPr>
              <w:t>&lt;Geben Sie den Serviceanbieter, einen Kunden oder einen Serviceanbieter zusammen mit einem Kunden an.&gt;</w:t>
            </w:r>
          </w:p>
        </w:tc>
        <w:tc>
          <w:tcPr>
            <w:tcW w:w="2384" w:type="dxa"/>
            <w:shd w:val="clear" w:color="auto" w:fill="auto"/>
          </w:tcPr>
          <w:p w:rsidR="006E388F" w:rsidRDefault="007E1694">
            <w:pPr>
              <w:pStyle w:val="Standard"/>
            </w:pPr>
            <w:r>
              <w:rPr>
                <w:rStyle w:val="SAPEmphasis"/>
              </w:rPr>
              <w:t>Dauer</w:t>
            </w:r>
          </w:p>
        </w:tc>
        <w:tc>
          <w:tcPr>
            <w:tcW w:w="2385" w:type="dxa"/>
            <w:shd w:val="clear" w:color="auto" w:fill="auto"/>
          </w:tcPr>
          <w:p w:rsidR="006E388F" w:rsidRDefault="007E1694">
            <w:pPr>
              <w:pStyle w:val="Standard"/>
            </w:pPr>
            <w:r>
              <w:rPr>
                <w:rStyle w:val="SAPUserEntry"/>
              </w:rPr>
              <w:t>Geben Sie eine Dauer ein.</w:t>
            </w:r>
          </w:p>
        </w:tc>
      </w:tr>
    </w:tbl>
    <w:p w:rsidR="006E388F" w:rsidRDefault="007E1694">
      <w:pPr>
        <w:pStyle w:val="SAPKeyblockTitle"/>
      </w:pPr>
      <w:r>
        <w:t>Verwendungszweck</w:t>
      </w:r>
    </w:p>
    <w:p w:rsidR="006E388F" w:rsidRDefault="007E1694">
      <w:pPr>
        <w:pStyle w:val="Standard"/>
      </w:pPr>
      <w:r>
        <w:t xml:space="preserve">Der Compliance-Spezialist legt ein neues </w:t>
      </w:r>
      <w:r>
        <w:t>Arbeitspaket an, um ein Control einzuschließen und einen regelmäßigen automatischen Job für die Erkennung von Datenschutzrisiken einzuplanen.</w:t>
      </w:r>
    </w:p>
    <w:p w:rsidR="006E388F" w:rsidRDefault="007E1694">
      <w:pPr>
        <w:pStyle w:val="SAPKeyblockTitle"/>
      </w:pPr>
      <w:r>
        <w:t>Voraussetzungen</w:t>
      </w:r>
    </w:p>
    <w:p w:rsidR="006E388F" w:rsidRDefault="007E1694">
      <w:pPr>
        <w:pStyle w:val="Standard"/>
      </w:pPr>
      <w:r>
        <w:t>Stellen Sie vor dem Anlegen eines neuen Arbeitspakets sicher, dass das neu angelegte Control in de</w:t>
      </w:r>
      <w:r>
        <w:t>n oben genannten Schritten erfolgreich angelegt wurde und das richtige Zielsystem zugeordnet ist.</w:t>
      </w:r>
    </w:p>
    <w:p w:rsidR="006E388F" w:rsidRDefault="007E1694">
      <w:pPr>
        <w:pStyle w:val="SAPKeyblockTitle"/>
      </w:pPr>
      <w:r>
        <w:t>Vorgehensweise</w:t>
      </w:r>
    </w:p>
    <w:tbl>
      <w:tblPr>
        <w:tblStyle w:val="SAPStandardTable"/>
        <w:tblW w:w="14304" w:type="dxa"/>
        <w:tblInd w:w="0" w:type="dxa"/>
        <w:tblLayout w:type="fixed"/>
        <w:tblLook w:val="0620" w:firstRow="1" w:lastRow="0" w:firstColumn="0" w:lastColumn="0" w:noHBand="1" w:noVBand="1"/>
      </w:tblPr>
      <w:tblGrid>
        <w:gridCol w:w="2860"/>
        <w:gridCol w:w="2860"/>
        <w:gridCol w:w="2861"/>
        <w:gridCol w:w="2861"/>
        <w:gridCol w:w="2862"/>
      </w:tblGrid>
      <w:tr w:rsidR="006E388F" w:rsidTr="007E1694">
        <w:trPr>
          <w:cnfStyle w:val="100000000000" w:firstRow="1" w:lastRow="0" w:firstColumn="0" w:lastColumn="0" w:oddVBand="0" w:evenVBand="0" w:oddHBand="0" w:evenHBand="0" w:firstRowFirstColumn="0" w:firstRowLastColumn="0" w:lastRowFirstColumn="0" w:lastRowLastColumn="0"/>
        </w:trPr>
        <w:tc>
          <w:tcPr>
            <w:tcW w:w="2860" w:type="dxa"/>
          </w:tcPr>
          <w:p w:rsidR="006E388F" w:rsidRDefault="007E1694">
            <w:pPr>
              <w:pStyle w:val="SAPTableHeader"/>
            </w:pPr>
            <w:r>
              <w:t>Testschrittnummer</w:t>
            </w:r>
          </w:p>
        </w:tc>
        <w:tc>
          <w:tcPr>
            <w:tcW w:w="2860" w:type="dxa"/>
          </w:tcPr>
          <w:p w:rsidR="006E388F" w:rsidRDefault="007E1694">
            <w:pPr>
              <w:pStyle w:val="SAPTableHeader"/>
            </w:pPr>
            <w:r>
              <w:t>Bezeichnung des Testschritts</w:t>
            </w:r>
          </w:p>
        </w:tc>
        <w:tc>
          <w:tcPr>
            <w:tcW w:w="2861" w:type="dxa"/>
          </w:tcPr>
          <w:p w:rsidR="006E388F" w:rsidRDefault="007E1694">
            <w:pPr>
              <w:pStyle w:val="SAPTableHeader"/>
            </w:pPr>
            <w:r>
              <w:t>Anweisung</w:t>
            </w:r>
          </w:p>
        </w:tc>
        <w:tc>
          <w:tcPr>
            <w:tcW w:w="2861" w:type="dxa"/>
          </w:tcPr>
          <w:p w:rsidR="006E388F" w:rsidRDefault="007E1694">
            <w:pPr>
              <w:pStyle w:val="SAPTableHeader"/>
            </w:pPr>
            <w:r>
              <w:t>Erwartetes Ergebnis</w:t>
            </w:r>
          </w:p>
        </w:tc>
        <w:tc>
          <w:tcPr>
            <w:tcW w:w="2862" w:type="dxa"/>
          </w:tcPr>
          <w:p w:rsidR="006E388F" w:rsidRDefault="007E1694">
            <w:pPr>
              <w:pStyle w:val="SAPTableHeader"/>
            </w:pPr>
            <w:r>
              <w:t>Bestanden/Nicht bestanden/Anmerkung</w:t>
            </w:r>
          </w:p>
        </w:tc>
      </w:tr>
      <w:tr w:rsidR="006E388F" w:rsidTr="007E1694">
        <w:tc>
          <w:tcPr>
            <w:tcW w:w="2860" w:type="dxa"/>
          </w:tcPr>
          <w:p w:rsidR="006E388F" w:rsidRDefault="007E1694">
            <w:pPr>
              <w:pStyle w:val="Standard"/>
            </w:pPr>
            <w:r>
              <w:t>1</w:t>
            </w:r>
          </w:p>
        </w:tc>
        <w:tc>
          <w:tcPr>
            <w:tcW w:w="2860" w:type="dxa"/>
          </w:tcPr>
          <w:p w:rsidR="006E388F" w:rsidRDefault="007E1694">
            <w:pPr>
              <w:pStyle w:val="Standard"/>
            </w:pPr>
            <w:r>
              <w:rPr>
                <w:rStyle w:val="SAPEmphasis"/>
              </w:rPr>
              <w:t>Anmeldung</w:t>
            </w:r>
          </w:p>
        </w:tc>
        <w:tc>
          <w:tcPr>
            <w:tcW w:w="2861" w:type="dxa"/>
          </w:tcPr>
          <w:p w:rsidR="006E388F" w:rsidRDefault="007E1694">
            <w:pPr>
              <w:pStyle w:val="Standard"/>
            </w:pPr>
            <w:r>
              <w:t xml:space="preserve">Melden Sie </w:t>
            </w:r>
            <w:r>
              <w:t>sich an SAP Privacy Governance als Spezialist an.</w:t>
            </w:r>
          </w:p>
        </w:tc>
        <w:tc>
          <w:tcPr>
            <w:tcW w:w="2861" w:type="dxa"/>
          </w:tcPr>
          <w:p w:rsidR="006E388F" w:rsidRDefault="006E388F">
            <w:pPr>
              <w:pStyle w:val="Standard"/>
            </w:pPr>
          </w:p>
        </w:tc>
        <w:tc>
          <w:tcPr>
            <w:tcW w:w="2862" w:type="dxa"/>
          </w:tcPr>
          <w:p w:rsidR="006E388F" w:rsidRDefault="006E388F">
            <w:pPr>
              <w:pStyle w:val="Standard"/>
            </w:pPr>
          </w:p>
        </w:tc>
      </w:tr>
      <w:tr w:rsidR="006E388F" w:rsidTr="007E1694">
        <w:tc>
          <w:tcPr>
            <w:tcW w:w="2860" w:type="dxa"/>
          </w:tcPr>
          <w:p w:rsidR="006E388F" w:rsidRDefault="007E1694">
            <w:pPr>
              <w:pStyle w:val="Standard"/>
            </w:pPr>
            <w:r>
              <w:t>2</w:t>
            </w:r>
          </w:p>
        </w:tc>
        <w:tc>
          <w:tcPr>
            <w:tcW w:w="2860" w:type="dxa"/>
          </w:tcPr>
          <w:p w:rsidR="006E388F" w:rsidRDefault="007E1694">
            <w:pPr>
              <w:pStyle w:val="Standard"/>
            </w:pPr>
            <w:r>
              <w:rPr>
                <w:rStyle w:val="SAPEmphasis"/>
              </w:rPr>
              <w:t>Arbeitspaket anlegen</w:t>
            </w:r>
          </w:p>
        </w:tc>
        <w:tc>
          <w:tcPr>
            <w:tcW w:w="2861" w:type="dxa"/>
          </w:tcPr>
          <w:p w:rsidR="006E388F" w:rsidRDefault="007E1694">
            <w:pPr>
              <w:pStyle w:val="Standard"/>
            </w:pPr>
            <w:r>
              <w:t xml:space="preserve">Öffnen Sie die Kachel </w:t>
            </w:r>
            <w:r>
              <w:rPr>
                <w:rStyle w:val="SAPScreenElement"/>
              </w:rPr>
              <w:t>Arbeitspakete verwalten</w:t>
            </w:r>
            <w:r>
              <w:t>.</w:t>
            </w:r>
          </w:p>
          <w:p w:rsidR="006E388F" w:rsidRDefault="007E1694">
            <w:pPr>
              <w:pStyle w:val="Standard"/>
            </w:pPr>
            <w:r>
              <w:t xml:space="preserve">Wählen Sie oben rechts in der Paketliste die Option </w:t>
            </w:r>
            <w:r>
              <w:rPr>
                <w:rStyle w:val="SAPScreenElement"/>
              </w:rPr>
              <w:t>Anlegen</w:t>
            </w:r>
            <w:r>
              <w:t>.</w:t>
            </w:r>
          </w:p>
        </w:tc>
        <w:tc>
          <w:tcPr>
            <w:tcW w:w="2861" w:type="dxa"/>
          </w:tcPr>
          <w:p w:rsidR="006E388F" w:rsidRDefault="007E1694">
            <w:pPr>
              <w:pStyle w:val="Standard"/>
            </w:pPr>
            <w:r>
              <w:t xml:space="preserve">Auf der rechten Seite des Bildschirms wird die Seite </w:t>
            </w:r>
            <w:r>
              <w:rPr>
                <w:rStyle w:val="SAPScreenElement"/>
              </w:rPr>
              <w:t>Neues Arbeitspaket</w:t>
            </w:r>
            <w:r>
              <w:t xml:space="preserve"> </w:t>
            </w:r>
            <w:r>
              <w:t>angezeigt.</w:t>
            </w:r>
          </w:p>
        </w:tc>
        <w:tc>
          <w:tcPr>
            <w:tcW w:w="2862" w:type="dxa"/>
          </w:tcPr>
          <w:p w:rsidR="006E388F" w:rsidRDefault="006E388F">
            <w:pPr>
              <w:pStyle w:val="Standard"/>
            </w:pPr>
          </w:p>
        </w:tc>
      </w:tr>
      <w:tr w:rsidR="006E388F" w:rsidTr="007E1694">
        <w:tc>
          <w:tcPr>
            <w:tcW w:w="2860" w:type="dxa"/>
          </w:tcPr>
          <w:p w:rsidR="006E388F" w:rsidRDefault="007E1694">
            <w:pPr>
              <w:pStyle w:val="Standard"/>
            </w:pPr>
            <w:r>
              <w:t>3</w:t>
            </w:r>
          </w:p>
        </w:tc>
        <w:tc>
          <w:tcPr>
            <w:tcW w:w="2860" w:type="dxa"/>
          </w:tcPr>
          <w:p w:rsidR="006E388F" w:rsidRDefault="007E1694">
            <w:pPr>
              <w:pStyle w:val="Standard"/>
            </w:pPr>
            <w:r>
              <w:rPr>
                <w:rStyle w:val="SAPEmphasis"/>
              </w:rPr>
              <w:t>Informationen für neues Arbeitspaket eingeben</w:t>
            </w:r>
          </w:p>
        </w:tc>
        <w:tc>
          <w:tcPr>
            <w:tcW w:w="2861" w:type="dxa"/>
          </w:tcPr>
          <w:p w:rsidR="006E388F" w:rsidRDefault="007E1694">
            <w:pPr>
              <w:pStyle w:val="Standard"/>
            </w:pPr>
            <w:r>
              <w:t xml:space="preserve">Geben Sie im Bereich </w:t>
            </w:r>
            <w:r>
              <w:rPr>
                <w:rStyle w:val="SAPScreenElement"/>
              </w:rPr>
              <w:t>Allgemeine Informationen</w:t>
            </w:r>
            <w:r>
              <w:t xml:space="preserve"> folgende Daten ein:</w:t>
            </w:r>
          </w:p>
          <w:p w:rsidR="006E388F" w:rsidRDefault="007E1694">
            <w:pPr>
              <w:pStyle w:val="Standard"/>
            </w:pPr>
            <w:r>
              <w:rPr>
                <w:rStyle w:val="SAPScreenElement"/>
              </w:rPr>
              <w:t>Name</w:t>
            </w:r>
            <w:r>
              <w:t xml:space="preserve">: </w:t>
            </w:r>
            <w:r>
              <w:rPr>
                <w:rStyle w:val="SAPUserEntry"/>
              </w:rPr>
              <w:t>&lt;Geben Sie die entsprechenden Information ein, z.B. ZWP_SO&gt;</w:t>
            </w:r>
          </w:p>
          <w:p w:rsidR="006E388F" w:rsidRDefault="007E1694">
            <w:pPr>
              <w:pStyle w:val="Standard"/>
            </w:pPr>
            <w:r>
              <w:rPr>
                <w:rStyle w:val="SAPScreenElement"/>
              </w:rPr>
              <w:t>Startdatum</w:t>
            </w:r>
            <w:r>
              <w:t xml:space="preserve">: </w:t>
            </w:r>
            <w:r>
              <w:rPr>
                <w:rStyle w:val="SAPUserEntry"/>
              </w:rPr>
              <w:t>&lt;Entsprechend auswählen, z.B. heute&gt;</w:t>
            </w:r>
          </w:p>
          <w:p w:rsidR="006E388F" w:rsidRDefault="007E1694">
            <w:pPr>
              <w:pStyle w:val="Standard"/>
            </w:pPr>
            <w:r>
              <w:rPr>
                <w:rStyle w:val="SAPScreenElement"/>
              </w:rPr>
              <w:t>Enddatum</w:t>
            </w:r>
            <w:r>
              <w:t xml:space="preserve">: </w:t>
            </w:r>
            <w:r>
              <w:rPr>
                <w:rStyle w:val="SAPUserEntry"/>
              </w:rPr>
              <w:t>&lt;Ens</w:t>
            </w:r>
            <w:r>
              <w:rPr>
                <w:rStyle w:val="SAPUserEntry"/>
              </w:rPr>
              <w:t>prechend auswählen, z.B. Ende des laufenden Monats.&gt;</w:t>
            </w:r>
          </w:p>
          <w:p w:rsidR="006E388F" w:rsidRDefault="007E1694">
            <w:pPr>
              <w:pStyle w:val="Standard"/>
            </w:pPr>
            <w:r>
              <w:rPr>
                <w:rStyle w:val="SAPScreenElement"/>
              </w:rPr>
              <w:t>Lauffrequenz</w:t>
            </w:r>
            <w:r>
              <w:t xml:space="preserve">: </w:t>
            </w:r>
            <w:r>
              <w:rPr>
                <w:rStyle w:val="SAPUserEntry"/>
              </w:rPr>
              <w:t>&lt;Wählen Sie eine aus der Auswahlliste aus, z.B. sofort nach der Aktivierung&gt;</w:t>
            </w:r>
          </w:p>
          <w:p w:rsidR="006E388F" w:rsidRDefault="007E1694">
            <w:pPr>
              <w:pStyle w:val="Standard"/>
            </w:pPr>
            <w:r>
              <w:rPr>
                <w:rStyle w:val="SAPScreenElement"/>
              </w:rPr>
              <w:t>Prüfzeitraum</w:t>
            </w:r>
            <w:r>
              <w:t xml:space="preserve">: </w:t>
            </w:r>
            <w:r>
              <w:rPr>
                <w:rStyle w:val="SAPUserEntry"/>
              </w:rPr>
              <w:t>&lt;Wählen Sie die entsprechende Information aus, z.B. Datenbereich des letzten Jahres&gt;</w:t>
            </w:r>
          </w:p>
          <w:p w:rsidR="006E388F" w:rsidRDefault="007E1694">
            <w:pPr>
              <w:pStyle w:val="Standard"/>
            </w:pPr>
            <w:r>
              <w:t xml:space="preserve">Geben Sie </w:t>
            </w:r>
            <w:r>
              <w:t xml:space="preserve">im Abschnitt </w:t>
            </w:r>
            <w:r>
              <w:rPr>
                <w:rStyle w:val="SAPScreenElement"/>
              </w:rPr>
              <w:t>Beschreibung</w:t>
            </w:r>
            <w:r>
              <w:t xml:space="preserve"> die entsprechende Information ein.</w:t>
            </w:r>
          </w:p>
          <w:p w:rsidR="006E388F" w:rsidRDefault="007E1694">
            <w:pPr>
              <w:pStyle w:val="Standard"/>
            </w:pPr>
            <w:r>
              <w:t xml:space="preserve">Wählen Sie </w:t>
            </w:r>
            <w:r>
              <w:rPr>
                <w:rStyle w:val="SAPScreenElement"/>
              </w:rPr>
              <w:t>Anlegen</w:t>
            </w:r>
            <w:r>
              <w:t>.</w:t>
            </w:r>
          </w:p>
        </w:tc>
        <w:tc>
          <w:tcPr>
            <w:tcW w:w="2861" w:type="dxa"/>
          </w:tcPr>
          <w:p w:rsidR="006E388F" w:rsidRDefault="007E1694">
            <w:pPr>
              <w:pStyle w:val="Standard"/>
            </w:pPr>
            <w:r>
              <w:t>Das neue Arbeitspaket wird angelegt.</w:t>
            </w:r>
          </w:p>
        </w:tc>
        <w:tc>
          <w:tcPr>
            <w:tcW w:w="2862" w:type="dxa"/>
          </w:tcPr>
          <w:p w:rsidR="006E388F" w:rsidRDefault="006E388F">
            <w:pPr>
              <w:pStyle w:val="Standard"/>
            </w:pPr>
          </w:p>
        </w:tc>
      </w:tr>
      <w:tr w:rsidR="006E388F" w:rsidTr="007E1694">
        <w:tc>
          <w:tcPr>
            <w:tcW w:w="2860" w:type="dxa"/>
          </w:tcPr>
          <w:p w:rsidR="006E388F" w:rsidRDefault="007E1694">
            <w:pPr>
              <w:pStyle w:val="Standard"/>
            </w:pPr>
            <w:r>
              <w:t>4</w:t>
            </w:r>
          </w:p>
        </w:tc>
        <w:tc>
          <w:tcPr>
            <w:tcW w:w="2860" w:type="dxa"/>
          </w:tcPr>
          <w:p w:rsidR="006E388F" w:rsidRDefault="007E1694">
            <w:pPr>
              <w:pStyle w:val="Standard"/>
            </w:pPr>
            <w:r>
              <w:rPr>
                <w:rStyle w:val="SAPEmphasis"/>
              </w:rPr>
              <w:t>Zuordnung von Control zu Arbeitspaket</w:t>
            </w:r>
          </w:p>
        </w:tc>
        <w:tc>
          <w:tcPr>
            <w:tcW w:w="2861" w:type="dxa"/>
          </w:tcPr>
          <w:p w:rsidR="006E388F" w:rsidRDefault="007E1694">
            <w:pPr>
              <w:pStyle w:val="Standard"/>
            </w:pPr>
            <w:r>
              <w:t xml:space="preserve">Wählen Sie das neu angelegte </w:t>
            </w:r>
            <w:r>
              <w:rPr>
                <w:rStyle w:val="SAPScreenElement"/>
              </w:rPr>
              <w:t>Arbeitspaket</w:t>
            </w:r>
            <w:r>
              <w:t xml:space="preserve"> unter der Registerkarte </w:t>
            </w:r>
            <w:r>
              <w:rPr>
                <w:rStyle w:val="SAPScreenElement"/>
              </w:rPr>
              <w:t>Öffnen</w:t>
            </w:r>
            <w:r>
              <w:t xml:space="preserve"> aus, und führen Sie einen Drilldown zu der Detailseite durch.</w:t>
            </w:r>
          </w:p>
          <w:p w:rsidR="006E388F" w:rsidRDefault="007E1694">
            <w:pPr>
              <w:pStyle w:val="Standard"/>
            </w:pPr>
            <w:r>
              <w:t xml:space="preserve">Navigieren Sie zur Registerkarte </w:t>
            </w:r>
            <w:r>
              <w:rPr>
                <w:rStyle w:val="SAPScreenElement"/>
              </w:rPr>
              <w:t>Controls and Procedures</w:t>
            </w:r>
            <w:r>
              <w:t>.</w:t>
            </w:r>
          </w:p>
          <w:p w:rsidR="006E388F" w:rsidRDefault="007E1694">
            <w:pPr>
              <w:pStyle w:val="Standard"/>
            </w:pPr>
            <w:r>
              <w:t xml:space="preserve">Wählen Sie </w:t>
            </w:r>
            <w:r>
              <w:rPr>
                <w:rStyle w:val="SAPScreenElement"/>
              </w:rPr>
              <w:t>Kontrolle hinzufügen</w:t>
            </w:r>
            <w:r>
              <w:t>. Wählen Sie die in den vorherigen Schritten angelegte Kontrolle aus, und</w:t>
            </w:r>
            <w:r>
              <w:t xml:space="preserve"> wählen Sie </w:t>
            </w:r>
            <w:r>
              <w:rPr>
                <w:rStyle w:val="SAPScreenElement"/>
              </w:rPr>
              <w:t>Auswählen</w:t>
            </w:r>
            <w:r>
              <w:t>.</w:t>
            </w:r>
          </w:p>
          <w:p w:rsidR="006E388F" w:rsidRDefault="007E1694">
            <w:pPr>
              <w:pStyle w:val="Standard"/>
            </w:pPr>
            <w:r>
              <w:t xml:space="preserve">Wählen Sie in der Spalte </w:t>
            </w:r>
            <w:r>
              <w:rPr>
                <w:rStyle w:val="SAPScreenElement"/>
              </w:rPr>
              <w:t>Aktivierte Destinationen</w:t>
            </w:r>
            <w:r>
              <w:t xml:space="preserve"> die Ziffer </w:t>
            </w:r>
            <w:r>
              <w:rPr>
                <w:rStyle w:val="SAPScreenElement"/>
              </w:rPr>
              <w:t>0</w:t>
            </w:r>
            <w:r>
              <w:t xml:space="preserve">. Wählen Sie im daraufhin angezeigten Dialogfenster </w:t>
            </w:r>
            <w:r>
              <w:rPr>
                <w:rStyle w:val="SAPScreenElement"/>
              </w:rPr>
              <w:t>Bearbeiten</w:t>
            </w:r>
            <w:r>
              <w:t xml:space="preserve">. Geben Sie im nächsten Popup-Fenster den entsprechenden Wert für die Eingabeparameter ein, z.B. </w:t>
            </w:r>
            <w:r>
              <w:rPr>
                <w:rStyle w:val="SAPScreenElement"/>
              </w:rPr>
              <w:t>Verkaufsorg.</w:t>
            </w:r>
            <w:r>
              <w:t xml:space="preserve"> enthält </w:t>
            </w:r>
            <w:r>
              <w:rPr>
                <w:rStyle w:val="SAPUserEntry"/>
              </w:rPr>
              <w:t>&lt;1010&gt;</w:t>
            </w:r>
            <w:r>
              <w:t xml:space="preserve">. Wählen Sie anschließend </w:t>
            </w:r>
            <w:r>
              <w:rPr>
                <w:rStyle w:val="SAPScreenElement"/>
              </w:rPr>
              <w:t>Sichern</w:t>
            </w:r>
            <w:r>
              <w:t>.</w:t>
            </w:r>
          </w:p>
          <w:p w:rsidR="006E388F" w:rsidRDefault="007E1694">
            <w:pPr>
              <w:pStyle w:val="Standard"/>
            </w:pPr>
            <w:r>
              <w:t xml:space="preserve">Nachdem die Parameter definiert wurden, wählen Sie die Destination aus. Wählen Sie dann </w:t>
            </w:r>
            <w:r>
              <w:rPr>
                <w:rStyle w:val="SAPScreenElement"/>
              </w:rPr>
              <w:t>Ausgewählte Destinationen aktivieren</w:t>
            </w:r>
            <w:r>
              <w:t>.</w:t>
            </w:r>
          </w:p>
        </w:tc>
        <w:tc>
          <w:tcPr>
            <w:tcW w:w="2861" w:type="dxa"/>
          </w:tcPr>
          <w:p w:rsidR="006E388F" w:rsidRDefault="007E1694">
            <w:pPr>
              <w:pStyle w:val="Standard"/>
            </w:pPr>
            <w:r>
              <w:t>Die Kontrolle wird dem Arbeitspaket zugeordnet, und die Destination sowie die Pa</w:t>
            </w:r>
            <w:r>
              <w:t>rameter werden festgelegt.</w:t>
            </w:r>
          </w:p>
        </w:tc>
        <w:tc>
          <w:tcPr>
            <w:tcW w:w="2862" w:type="dxa"/>
          </w:tcPr>
          <w:p w:rsidR="006E388F" w:rsidRDefault="006E388F">
            <w:pPr>
              <w:pStyle w:val="Standard"/>
            </w:pPr>
          </w:p>
        </w:tc>
      </w:tr>
      <w:tr w:rsidR="006E388F" w:rsidTr="007E1694">
        <w:tc>
          <w:tcPr>
            <w:tcW w:w="2860" w:type="dxa"/>
          </w:tcPr>
          <w:p w:rsidR="006E388F" w:rsidRDefault="007E1694">
            <w:pPr>
              <w:pStyle w:val="Standard"/>
            </w:pPr>
            <w:r>
              <w:t>5</w:t>
            </w:r>
          </w:p>
        </w:tc>
        <w:tc>
          <w:tcPr>
            <w:tcW w:w="2860" w:type="dxa"/>
          </w:tcPr>
          <w:p w:rsidR="006E388F" w:rsidRDefault="007E1694">
            <w:pPr>
              <w:pStyle w:val="Standard"/>
            </w:pPr>
            <w:r>
              <w:rPr>
                <w:rStyle w:val="SAPEmphasis"/>
              </w:rPr>
              <w:t>Arbeitspaket aktivieren</w:t>
            </w:r>
          </w:p>
        </w:tc>
        <w:tc>
          <w:tcPr>
            <w:tcW w:w="2861" w:type="dxa"/>
          </w:tcPr>
          <w:p w:rsidR="006E388F" w:rsidRDefault="007E1694">
            <w:pPr>
              <w:pStyle w:val="Standard"/>
            </w:pPr>
            <w:r>
              <w:t xml:space="preserve">Klicken Sie auf der Detailseite des neu angelegten Arbeitspakets auf </w:t>
            </w:r>
            <w:r>
              <w:rPr>
                <w:rStyle w:val="SAPScreenElement"/>
              </w:rPr>
              <w:t>Aktivieren</w:t>
            </w:r>
            <w:r>
              <w:t>.</w:t>
            </w:r>
          </w:p>
        </w:tc>
        <w:tc>
          <w:tcPr>
            <w:tcW w:w="2861" w:type="dxa"/>
          </w:tcPr>
          <w:p w:rsidR="006E388F" w:rsidRDefault="007E1694">
            <w:pPr>
              <w:pStyle w:val="Standard"/>
            </w:pPr>
            <w:r>
              <w:t>Das Arbeitspaket ist aktiv, und der Arbeitspaketlauf wird wie geplant ausgelöst.</w:t>
            </w:r>
          </w:p>
        </w:tc>
        <w:tc>
          <w:tcPr>
            <w:tcW w:w="2862" w:type="dxa"/>
          </w:tcPr>
          <w:p w:rsidR="006E388F" w:rsidRDefault="006E388F">
            <w:pPr>
              <w:pStyle w:val="Standard"/>
            </w:pPr>
          </w:p>
        </w:tc>
      </w:tr>
    </w:tbl>
    <w:p w:rsidR="006E388F" w:rsidRDefault="007E1694">
      <w:pPr>
        <w:pStyle w:val="Heading2"/>
      </w:pPr>
      <w:bookmarkStart w:id="28" w:name="unique_13"/>
      <w:bookmarkStart w:id="29" w:name="_Toc52287642"/>
      <w:r>
        <w:t>Ergebnis des automatisierten Prozedur</w:t>
      </w:r>
      <w:r>
        <w:t>laufs anzeigen</w:t>
      </w:r>
      <w:bookmarkEnd w:id="28"/>
      <w:bookmarkEnd w:id="29"/>
    </w:p>
    <w:p w:rsidR="006E388F" w:rsidRDefault="007E1694">
      <w:pPr>
        <w:pStyle w:val="SAPKeyblockTitle"/>
      </w:pPr>
      <w:r>
        <w:t>Testverwaltung</w:t>
      </w:r>
    </w:p>
    <w:p w:rsidR="006E388F" w:rsidRDefault="007E1694">
      <w:pPr>
        <w:pStyle w:val="Standard"/>
      </w:pPr>
      <w:r>
        <w:t>Kundenprojekt: Füllen Sie die projektbezogenen Teile aus.</w:t>
      </w:r>
    </w:p>
    <w:p w:rsidR="006E388F" w:rsidRDefault="006E388F">
      <w:pPr>
        <w:pStyle w:val="Standard"/>
      </w:pPr>
    </w:p>
    <w:tbl>
      <w:tblPr>
        <w:tblW w:w="14304"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10" w:type="dxa"/>
          <w:right w:w="10" w:type="dxa"/>
        </w:tblCellMar>
        <w:tblLook w:val="0000" w:firstRow="0" w:lastRow="0" w:firstColumn="0" w:lastColumn="0" w:noHBand="0" w:noVBand="0"/>
      </w:tblPr>
      <w:tblGrid>
        <w:gridCol w:w="2383"/>
        <w:gridCol w:w="2384"/>
        <w:gridCol w:w="2384"/>
        <w:gridCol w:w="2384"/>
        <w:gridCol w:w="2384"/>
        <w:gridCol w:w="2385"/>
      </w:tblGrid>
      <w:tr w:rsidR="006E388F" w:rsidTr="007E1694">
        <w:tblPrEx>
          <w:tblCellMar>
            <w:top w:w="0" w:type="dxa"/>
            <w:bottom w:w="0" w:type="dxa"/>
          </w:tblCellMar>
        </w:tblPrEx>
        <w:tc>
          <w:tcPr>
            <w:tcW w:w="2384" w:type="dxa"/>
            <w:shd w:val="clear" w:color="auto" w:fill="auto"/>
          </w:tcPr>
          <w:p w:rsidR="006E388F" w:rsidRDefault="007E1694">
            <w:pPr>
              <w:pStyle w:val="Standard"/>
            </w:pPr>
            <w:r>
              <w:rPr>
                <w:rStyle w:val="SAPEmphasis"/>
              </w:rPr>
              <w:t>Testfall-ID</w:t>
            </w:r>
          </w:p>
        </w:tc>
        <w:tc>
          <w:tcPr>
            <w:tcW w:w="2384" w:type="dxa"/>
            <w:shd w:val="clear" w:color="auto" w:fill="auto"/>
          </w:tcPr>
          <w:p w:rsidR="006E388F" w:rsidRDefault="007E1694">
            <w:pPr>
              <w:pStyle w:val="Standard"/>
            </w:pPr>
            <w:r>
              <w:t>&lt;X.XX&gt;</w:t>
            </w:r>
          </w:p>
        </w:tc>
        <w:tc>
          <w:tcPr>
            <w:tcW w:w="2384" w:type="dxa"/>
            <w:shd w:val="clear" w:color="auto" w:fill="auto"/>
          </w:tcPr>
          <w:p w:rsidR="006E388F" w:rsidRDefault="007E1694">
            <w:pPr>
              <w:pStyle w:val="Standard"/>
            </w:pPr>
            <w:r>
              <w:rPr>
                <w:rStyle w:val="SAPEmphasis"/>
              </w:rPr>
              <w:t>Testername</w:t>
            </w:r>
          </w:p>
        </w:tc>
        <w:tc>
          <w:tcPr>
            <w:tcW w:w="2384" w:type="dxa"/>
            <w:shd w:val="clear" w:color="auto" w:fill="auto"/>
          </w:tcPr>
          <w:p w:rsidR="006E388F" w:rsidRDefault="006E388F">
            <w:pPr>
              <w:pStyle w:val="Standard"/>
            </w:pPr>
          </w:p>
        </w:tc>
        <w:tc>
          <w:tcPr>
            <w:tcW w:w="2384" w:type="dxa"/>
            <w:shd w:val="clear" w:color="auto" w:fill="auto"/>
          </w:tcPr>
          <w:p w:rsidR="006E388F" w:rsidRDefault="007E1694">
            <w:pPr>
              <w:pStyle w:val="Standard"/>
            </w:pPr>
            <w:r>
              <w:rPr>
                <w:rStyle w:val="SAPEmphasis"/>
              </w:rPr>
              <w:t>Testdatum</w:t>
            </w:r>
          </w:p>
        </w:tc>
        <w:tc>
          <w:tcPr>
            <w:tcW w:w="2385" w:type="dxa"/>
            <w:shd w:val="clear" w:color="auto" w:fill="auto"/>
          </w:tcPr>
          <w:p w:rsidR="006E388F" w:rsidRDefault="007E1694">
            <w:pPr>
              <w:pStyle w:val="Standard"/>
            </w:pPr>
            <w:r>
              <w:rPr>
                <w:rStyle w:val="SAPUserEntry"/>
              </w:rPr>
              <w:t>Geben Sie ein Testdatum ein.</w:t>
            </w:r>
          </w:p>
        </w:tc>
      </w:tr>
      <w:tr w:rsidR="006E388F" w:rsidTr="007E1694">
        <w:tblPrEx>
          <w:tblCellMar>
            <w:top w:w="0" w:type="dxa"/>
            <w:bottom w:w="0" w:type="dxa"/>
          </w:tblCellMar>
        </w:tblPrEx>
        <w:tc>
          <w:tcPr>
            <w:tcW w:w="2384" w:type="dxa"/>
            <w:shd w:val="clear" w:color="auto" w:fill="auto"/>
          </w:tcPr>
          <w:p w:rsidR="006E388F" w:rsidRDefault="007E1694">
            <w:pPr>
              <w:pStyle w:val="Standard"/>
            </w:pPr>
            <w:r>
              <w:t>Benutzerrolle(n)</w:t>
            </w:r>
          </w:p>
        </w:tc>
        <w:tc>
          <w:tcPr>
            <w:tcW w:w="11921" w:type="dxa"/>
            <w:gridSpan w:val="5"/>
            <w:shd w:val="clear" w:color="auto" w:fill="auto"/>
          </w:tcPr>
          <w:p w:rsidR="006E388F" w:rsidRDefault="006E388F">
            <w:pPr>
              <w:pStyle w:val="Standard"/>
            </w:pPr>
          </w:p>
        </w:tc>
      </w:tr>
      <w:tr w:rsidR="006E388F" w:rsidTr="007E1694">
        <w:tblPrEx>
          <w:tblCellMar>
            <w:top w:w="0" w:type="dxa"/>
            <w:bottom w:w="0" w:type="dxa"/>
          </w:tblCellMar>
        </w:tblPrEx>
        <w:tc>
          <w:tcPr>
            <w:tcW w:w="2384" w:type="dxa"/>
            <w:shd w:val="clear" w:color="auto" w:fill="auto"/>
          </w:tcPr>
          <w:p w:rsidR="006E388F" w:rsidRDefault="007E1694">
            <w:pPr>
              <w:pStyle w:val="Standard"/>
            </w:pPr>
            <w:r>
              <w:rPr>
                <w:rStyle w:val="SAPEmphasis"/>
              </w:rPr>
              <w:t>Verantwortungsbereich</w:t>
            </w:r>
          </w:p>
        </w:tc>
        <w:tc>
          <w:tcPr>
            <w:tcW w:w="7152" w:type="dxa"/>
            <w:gridSpan w:val="3"/>
            <w:shd w:val="clear" w:color="auto" w:fill="auto"/>
          </w:tcPr>
          <w:p w:rsidR="006E388F" w:rsidRDefault="007E1694">
            <w:pPr>
              <w:pStyle w:val="Standard"/>
            </w:pPr>
            <w:r>
              <w:rPr>
                <w:rStyle w:val="SAPUserEntry"/>
              </w:rPr>
              <w:t xml:space="preserve">&lt;Geben Sie den Serviceanbieter, einen Kunden oder </w:t>
            </w:r>
            <w:r>
              <w:rPr>
                <w:rStyle w:val="SAPUserEntry"/>
              </w:rPr>
              <w:t>einen Serviceanbieter zusammen mit einem Kunden an.&gt;</w:t>
            </w:r>
          </w:p>
        </w:tc>
        <w:tc>
          <w:tcPr>
            <w:tcW w:w="2384" w:type="dxa"/>
            <w:shd w:val="clear" w:color="auto" w:fill="auto"/>
          </w:tcPr>
          <w:p w:rsidR="006E388F" w:rsidRDefault="007E1694">
            <w:pPr>
              <w:pStyle w:val="Standard"/>
            </w:pPr>
            <w:r>
              <w:rPr>
                <w:rStyle w:val="SAPEmphasis"/>
              </w:rPr>
              <w:t>Dauer</w:t>
            </w:r>
          </w:p>
        </w:tc>
        <w:tc>
          <w:tcPr>
            <w:tcW w:w="2385" w:type="dxa"/>
            <w:shd w:val="clear" w:color="auto" w:fill="auto"/>
          </w:tcPr>
          <w:p w:rsidR="006E388F" w:rsidRDefault="007E1694">
            <w:pPr>
              <w:pStyle w:val="Standard"/>
            </w:pPr>
            <w:r>
              <w:rPr>
                <w:rStyle w:val="SAPUserEntry"/>
              </w:rPr>
              <w:t>Geben Sie eine Dauer ein.</w:t>
            </w:r>
          </w:p>
        </w:tc>
      </w:tr>
    </w:tbl>
    <w:p w:rsidR="006E388F" w:rsidRDefault="007E1694">
      <w:pPr>
        <w:pStyle w:val="SAPKeyblockTitle"/>
      </w:pPr>
      <w:r>
        <w:t>Verwendungszweck</w:t>
      </w:r>
    </w:p>
    <w:p w:rsidR="006E388F" w:rsidRDefault="007E1694">
      <w:pPr>
        <w:pStyle w:val="Standard"/>
      </w:pPr>
      <w:r>
        <w:t xml:space="preserve">Das oben angelegte Arbeitspaket wird nach der Aktivierung wie geplant ausgeführt. Der Compliance-Spezialist oder der Compliance-Manager meldet sich am </w:t>
      </w:r>
      <w:r>
        <w:t>SAP-Privacy-Governance-System an, um das Ergebnis des automatisierten Prozedurlaufs anzuzeigen und Maßnahmen für das Risiko zu ergreifen.</w:t>
      </w:r>
    </w:p>
    <w:p w:rsidR="006E388F" w:rsidRDefault="007E1694">
      <w:pPr>
        <w:pStyle w:val="SAPKeyblockTitle"/>
      </w:pPr>
      <w:r>
        <w:t>Voraussetzungen</w:t>
      </w:r>
    </w:p>
    <w:p w:rsidR="006E388F" w:rsidRDefault="007E1694">
      <w:pPr>
        <w:pStyle w:val="Standard"/>
      </w:pPr>
      <w:r>
        <w:t xml:space="preserve">Stellen Sie vor dem Starten der Testverfahren sicher, dass das Arbeitspaket erfolgreich </w:t>
      </w:r>
      <w:r>
        <w:t>eingeplant und der erste Lauf beendet wurde.</w:t>
      </w:r>
    </w:p>
    <w:p w:rsidR="006E388F" w:rsidRDefault="007E1694">
      <w:pPr>
        <w:pStyle w:val="SAPKeyblockTitle"/>
      </w:pPr>
      <w:r>
        <w:t>Vorgehensweise</w:t>
      </w:r>
    </w:p>
    <w:tbl>
      <w:tblPr>
        <w:tblStyle w:val="SAPStandardTable"/>
        <w:tblW w:w="14304" w:type="dxa"/>
        <w:tblInd w:w="0" w:type="dxa"/>
        <w:tblLayout w:type="fixed"/>
        <w:tblLook w:val="0620" w:firstRow="1" w:lastRow="0" w:firstColumn="0" w:lastColumn="0" w:noHBand="1" w:noVBand="1"/>
      </w:tblPr>
      <w:tblGrid>
        <w:gridCol w:w="2860"/>
        <w:gridCol w:w="2860"/>
        <w:gridCol w:w="2861"/>
        <w:gridCol w:w="2861"/>
        <w:gridCol w:w="2862"/>
      </w:tblGrid>
      <w:tr w:rsidR="006E388F" w:rsidTr="007E1694">
        <w:trPr>
          <w:cnfStyle w:val="100000000000" w:firstRow="1" w:lastRow="0" w:firstColumn="0" w:lastColumn="0" w:oddVBand="0" w:evenVBand="0" w:oddHBand="0" w:evenHBand="0" w:firstRowFirstColumn="0" w:firstRowLastColumn="0" w:lastRowFirstColumn="0" w:lastRowLastColumn="0"/>
        </w:trPr>
        <w:tc>
          <w:tcPr>
            <w:tcW w:w="2860" w:type="dxa"/>
          </w:tcPr>
          <w:p w:rsidR="006E388F" w:rsidRDefault="007E1694">
            <w:pPr>
              <w:pStyle w:val="SAPTableHeader"/>
            </w:pPr>
            <w:r>
              <w:t>Testschrittnummer</w:t>
            </w:r>
          </w:p>
        </w:tc>
        <w:tc>
          <w:tcPr>
            <w:tcW w:w="2860" w:type="dxa"/>
          </w:tcPr>
          <w:p w:rsidR="006E388F" w:rsidRDefault="007E1694">
            <w:pPr>
              <w:pStyle w:val="SAPTableHeader"/>
            </w:pPr>
            <w:r>
              <w:t>Bezeichnung des Testschritts</w:t>
            </w:r>
          </w:p>
        </w:tc>
        <w:tc>
          <w:tcPr>
            <w:tcW w:w="2861" w:type="dxa"/>
          </w:tcPr>
          <w:p w:rsidR="006E388F" w:rsidRDefault="007E1694">
            <w:pPr>
              <w:pStyle w:val="SAPTableHeader"/>
            </w:pPr>
            <w:r>
              <w:t>Anweisung</w:t>
            </w:r>
          </w:p>
        </w:tc>
        <w:tc>
          <w:tcPr>
            <w:tcW w:w="2861" w:type="dxa"/>
          </w:tcPr>
          <w:p w:rsidR="006E388F" w:rsidRDefault="007E1694">
            <w:pPr>
              <w:pStyle w:val="SAPTableHeader"/>
            </w:pPr>
            <w:r>
              <w:t>Erwartetes Ergebnis</w:t>
            </w:r>
          </w:p>
        </w:tc>
        <w:tc>
          <w:tcPr>
            <w:tcW w:w="2862" w:type="dxa"/>
          </w:tcPr>
          <w:p w:rsidR="006E388F" w:rsidRDefault="007E1694">
            <w:pPr>
              <w:pStyle w:val="SAPTableHeader"/>
            </w:pPr>
            <w:r>
              <w:t>Bestanden/Nicht bestanden/Anmerkung</w:t>
            </w:r>
          </w:p>
        </w:tc>
      </w:tr>
      <w:tr w:rsidR="006E388F" w:rsidTr="007E1694">
        <w:tc>
          <w:tcPr>
            <w:tcW w:w="2860" w:type="dxa"/>
          </w:tcPr>
          <w:p w:rsidR="006E388F" w:rsidRDefault="007E1694">
            <w:pPr>
              <w:pStyle w:val="Standard"/>
            </w:pPr>
            <w:r>
              <w:t>1</w:t>
            </w:r>
          </w:p>
        </w:tc>
        <w:tc>
          <w:tcPr>
            <w:tcW w:w="2860" w:type="dxa"/>
          </w:tcPr>
          <w:p w:rsidR="006E388F" w:rsidRDefault="007E1694">
            <w:pPr>
              <w:pStyle w:val="Standard"/>
            </w:pPr>
            <w:r>
              <w:rPr>
                <w:rStyle w:val="SAPEmphasis"/>
              </w:rPr>
              <w:t>Anmelden</w:t>
            </w:r>
          </w:p>
        </w:tc>
        <w:tc>
          <w:tcPr>
            <w:tcW w:w="2861" w:type="dxa"/>
          </w:tcPr>
          <w:p w:rsidR="006E388F" w:rsidRDefault="007E1694">
            <w:pPr>
              <w:pStyle w:val="Standard"/>
            </w:pPr>
            <w:r>
              <w:t xml:space="preserve">Melden Sie sich an SAP Privacy Governance als Spezialist oder </w:t>
            </w:r>
            <w:r>
              <w:t>Manager an.</w:t>
            </w:r>
          </w:p>
        </w:tc>
        <w:tc>
          <w:tcPr>
            <w:tcW w:w="2861" w:type="dxa"/>
          </w:tcPr>
          <w:p w:rsidR="006E388F" w:rsidRDefault="006E388F">
            <w:pPr>
              <w:pStyle w:val="Standard"/>
            </w:pPr>
          </w:p>
        </w:tc>
        <w:tc>
          <w:tcPr>
            <w:tcW w:w="2862" w:type="dxa"/>
          </w:tcPr>
          <w:p w:rsidR="006E388F" w:rsidRDefault="006E388F">
            <w:pPr>
              <w:pStyle w:val="Standard"/>
            </w:pPr>
          </w:p>
        </w:tc>
      </w:tr>
      <w:tr w:rsidR="006E388F" w:rsidTr="007E1694">
        <w:tc>
          <w:tcPr>
            <w:tcW w:w="2860" w:type="dxa"/>
          </w:tcPr>
          <w:p w:rsidR="006E388F" w:rsidRDefault="007E1694">
            <w:pPr>
              <w:pStyle w:val="Standard"/>
            </w:pPr>
            <w:r>
              <w:t>2</w:t>
            </w:r>
          </w:p>
        </w:tc>
        <w:tc>
          <w:tcPr>
            <w:tcW w:w="2860" w:type="dxa"/>
          </w:tcPr>
          <w:p w:rsidR="006E388F" w:rsidRDefault="007E1694">
            <w:pPr>
              <w:pStyle w:val="Standard"/>
            </w:pPr>
            <w:r>
              <w:rPr>
                <w:rStyle w:val="SAPEmphasis"/>
              </w:rPr>
              <w:t>Ergebnisse des Prozedurlaufs anzeigen</w:t>
            </w:r>
          </w:p>
        </w:tc>
        <w:tc>
          <w:tcPr>
            <w:tcW w:w="2861" w:type="dxa"/>
          </w:tcPr>
          <w:p w:rsidR="006E388F" w:rsidRDefault="007E1694">
            <w:pPr>
              <w:pStyle w:val="Standard"/>
            </w:pPr>
            <w:r>
              <w:t xml:space="preserve">Öffnen Sie </w:t>
            </w:r>
            <w:r>
              <w:rPr>
                <w:rStyle w:val="SAPScreenElement"/>
              </w:rPr>
              <w:t>Automatische Prozedurläufe anzeigen</w:t>
            </w:r>
            <w:r>
              <w:t>.</w:t>
            </w:r>
          </w:p>
          <w:p w:rsidR="006E388F" w:rsidRDefault="007E1694">
            <w:pPr>
              <w:pStyle w:val="Standard"/>
            </w:pPr>
            <w:r>
              <w:t xml:space="preserve">Wählen Sie in der Liste </w:t>
            </w:r>
            <w:r>
              <w:rPr>
                <w:rStyle w:val="SAPScreenElement"/>
              </w:rPr>
              <w:t>Prozedurläufe</w:t>
            </w:r>
            <w:r>
              <w:t xml:space="preserve"> die abgeschlossenen Prozedurläufe aus, die von dem Arbeitspaket eingeplant wurden, das in den vorherigen Schritten </w:t>
            </w:r>
            <w:r>
              <w:t>angelegt wurde.</w:t>
            </w:r>
          </w:p>
        </w:tc>
        <w:tc>
          <w:tcPr>
            <w:tcW w:w="2861" w:type="dxa"/>
          </w:tcPr>
          <w:p w:rsidR="006E388F" w:rsidRDefault="007E1694">
            <w:pPr>
              <w:pStyle w:val="Standard"/>
            </w:pPr>
            <w:r>
              <w:t>Der Ergebnisbericht wird angezeigt.</w:t>
            </w:r>
          </w:p>
        </w:tc>
        <w:tc>
          <w:tcPr>
            <w:tcW w:w="2862" w:type="dxa"/>
          </w:tcPr>
          <w:p w:rsidR="006E388F" w:rsidRDefault="006E388F">
            <w:pPr>
              <w:pStyle w:val="Standard"/>
            </w:pPr>
          </w:p>
        </w:tc>
      </w:tr>
      <w:tr w:rsidR="006E388F" w:rsidTr="007E1694">
        <w:tc>
          <w:tcPr>
            <w:tcW w:w="2860" w:type="dxa"/>
          </w:tcPr>
          <w:p w:rsidR="006E388F" w:rsidRDefault="007E1694">
            <w:pPr>
              <w:pStyle w:val="Standard"/>
            </w:pPr>
            <w:r>
              <w:t>3</w:t>
            </w:r>
          </w:p>
        </w:tc>
        <w:tc>
          <w:tcPr>
            <w:tcW w:w="2860" w:type="dxa"/>
          </w:tcPr>
          <w:p w:rsidR="006E388F" w:rsidRDefault="007E1694">
            <w:pPr>
              <w:pStyle w:val="Standard"/>
            </w:pPr>
            <w:r>
              <w:rPr>
                <w:rStyle w:val="SAPEmphasis"/>
              </w:rPr>
              <w:t>Risiken beheben (optional)</w:t>
            </w:r>
          </w:p>
        </w:tc>
        <w:tc>
          <w:tcPr>
            <w:tcW w:w="2861" w:type="dxa"/>
          </w:tcPr>
          <w:p w:rsidR="006E388F" w:rsidRDefault="007E1694">
            <w:pPr>
              <w:pStyle w:val="Standard"/>
            </w:pPr>
            <w:r>
              <w:t xml:space="preserve">In </w:t>
            </w:r>
            <w:hyperlink r:id="rId15" w:history="1">
              <w:r>
                <w:t>Anwendungsfälle</w:t>
              </w:r>
            </w:hyperlink>
            <w:r>
              <w:t xml:space="preserve">  [Seite ] </w:t>
            </w:r>
            <w:r>
              <w:fldChar w:fldCharType="begin"/>
            </w:r>
            <w:r>
              <w:instrText xml:space="preserve"> PAGEREF unique_2 </w:instrText>
            </w:r>
            <w:r>
              <w:fldChar w:fldCharType="separate"/>
            </w:r>
            <w:r>
              <w:rPr>
                <w:noProof/>
              </w:rPr>
              <w:t>3</w:t>
            </w:r>
            <w:r>
              <w:fldChar w:fldCharType="end"/>
            </w:r>
            <w:r>
              <w:t xml:space="preserve"> erhalten Sie dazu weitere Informationen.</w:t>
            </w:r>
          </w:p>
        </w:tc>
        <w:tc>
          <w:tcPr>
            <w:tcW w:w="2861" w:type="dxa"/>
          </w:tcPr>
          <w:p w:rsidR="006E388F" w:rsidRDefault="006E388F">
            <w:pPr>
              <w:pStyle w:val="Standard"/>
            </w:pPr>
          </w:p>
        </w:tc>
        <w:tc>
          <w:tcPr>
            <w:tcW w:w="2862" w:type="dxa"/>
          </w:tcPr>
          <w:p w:rsidR="006E388F" w:rsidRDefault="006E388F">
            <w:pPr>
              <w:pStyle w:val="Standard"/>
            </w:pPr>
          </w:p>
        </w:tc>
      </w:tr>
    </w:tbl>
    <w:p w:rsidR="006E388F" w:rsidRDefault="006E388F">
      <w:pPr>
        <w:pStyle w:val="Standard"/>
      </w:pPr>
    </w:p>
    <w:p w:rsidR="007E1694" w:rsidRDefault="007E1694">
      <w:pPr>
        <w:pStyle w:val="Standard"/>
      </w:pPr>
    </w:p>
    <w:p w:rsidR="007E1694" w:rsidRDefault="007E1694" w:rsidP="006F0FB3">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7E1694" w:rsidTr="007D285B">
        <w:trPr>
          <w:cnfStyle w:val="100000000000" w:firstRow="1" w:lastRow="0" w:firstColumn="0" w:lastColumn="0" w:oddVBand="0" w:evenVBand="0" w:oddHBand="0" w:evenHBand="0" w:firstRowFirstColumn="0" w:firstRowLastColumn="0" w:lastRowFirstColumn="0" w:lastRowLastColumn="0"/>
        </w:trPr>
        <w:tc>
          <w:tcPr>
            <w:tcW w:w="1554" w:type="dxa"/>
          </w:tcPr>
          <w:p w:rsidR="007E1694" w:rsidRDefault="007E1694" w:rsidP="007D285B">
            <w:r>
              <w:t>Type Style</w:t>
            </w:r>
          </w:p>
        </w:tc>
        <w:tc>
          <w:tcPr>
            <w:tcW w:w="11598" w:type="dxa"/>
          </w:tcPr>
          <w:p w:rsidR="007E1694" w:rsidRDefault="007E1694" w:rsidP="007D285B">
            <w:r>
              <w:t>Description</w:t>
            </w:r>
          </w:p>
        </w:tc>
      </w:tr>
      <w:tr w:rsidR="007E1694" w:rsidRPr="001B5034" w:rsidTr="007D285B">
        <w:tc>
          <w:tcPr>
            <w:tcW w:w="1554" w:type="dxa"/>
          </w:tcPr>
          <w:p w:rsidR="007E1694" w:rsidRPr="001B5034" w:rsidRDefault="007E1694" w:rsidP="007D285B">
            <w:r w:rsidRPr="00601DC2">
              <w:rPr>
                <w:rStyle w:val="SAPScreenElement"/>
              </w:rPr>
              <w:t>Example</w:t>
            </w:r>
          </w:p>
        </w:tc>
        <w:tc>
          <w:tcPr>
            <w:tcW w:w="11598" w:type="dxa"/>
          </w:tcPr>
          <w:p w:rsidR="007E1694" w:rsidRDefault="007E1694" w:rsidP="007D285B">
            <w:r w:rsidRPr="001B5034">
              <w:t>Words or characters quoted from the screen. These include field names, screen titles, pushbuttons labels, menu names, menu paths, and menu options.</w:t>
            </w:r>
          </w:p>
          <w:p w:rsidR="007E1694" w:rsidRPr="001B5034" w:rsidRDefault="007E1694" w:rsidP="007D285B">
            <w:r>
              <w:t>Textual c</w:t>
            </w:r>
            <w:r w:rsidRPr="001B5034">
              <w:t xml:space="preserve">ross-references to other </w:t>
            </w:r>
            <w:r>
              <w:t>documents</w:t>
            </w:r>
            <w:r w:rsidRPr="001B5034">
              <w:t>.</w:t>
            </w:r>
          </w:p>
        </w:tc>
      </w:tr>
      <w:tr w:rsidR="007E1694" w:rsidRPr="001B5034" w:rsidTr="007D285B">
        <w:trPr>
          <w:cnfStyle w:val="000000010000" w:firstRow="0" w:lastRow="0" w:firstColumn="0" w:lastColumn="0" w:oddVBand="0" w:evenVBand="0" w:oddHBand="0" w:evenHBand="1" w:firstRowFirstColumn="0" w:firstRowLastColumn="0" w:lastRowFirstColumn="0" w:lastRowLastColumn="0"/>
        </w:trPr>
        <w:tc>
          <w:tcPr>
            <w:tcW w:w="1554" w:type="dxa"/>
          </w:tcPr>
          <w:p w:rsidR="007E1694" w:rsidRPr="005A5AB7" w:rsidRDefault="007E1694" w:rsidP="007D285B">
            <w:pPr>
              <w:rPr>
                <w:rStyle w:val="SAPEmphasis"/>
              </w:rPr>
            </w:pPr>
            <w:r w:rsidRPr="00D61EBC">
              <w:rPr>
                <w:rStyle w:val="SAPEmphasis"/>
              </w:rPr>
              <w:t>Example</w:t>
            </w:r>
          </w:p>
        </w:tc>
        <w:tc>
          <w:tcPr>
            <w:tcW w:w="11598" w:type="dxa"/>
          </w:tcPr>
          <w:p w:rsidR="007E1694" w:rsidRPr="001B5034" w:rsidRDefault="007E1694" w:rsidP="007D285B">
            <w:r w:rsidRPr="001B5034">
              <w:t xml:space="preserve">Emphasized words or </w:t>
            </w:r>
            <w:r>
              <w:t>expressions.</w:t>
            </w:r>
          </w:p>
        </w:tc>
      </w:tr>
      <w:tr w:rsidR="007E1694" w:rsidRPr="001B5034" w:rsidTr="007D285B">
        <w:tc>
          <w:tcPr>
            <w:tcW w:w="1554" w:type="dxa"/>
          </w:tcPr>
          <w:p w:rsidR="007E1694" w:rsidRPr="001B5034" w:rsidRDefault="007E1694" w:rsidP="007D285B">
            <w:r w:rsidRPr="009A20CD">
              <w:rPr>
                <w:rStyle w:val="SAPMonospace"/>
              </w:rPr>
              <w:t>EXAMPLE</w:t>
            </w:r>
          </w:p>
        </w:tc>
        <w:tc>
          <w:tcPr>
            <w:tcW w:w="11598" w:type="dxa"/>
          </w:tcPr>
          <w:p w:rsidR="007E1694" w:rsidRPr="001B5034" w:rsidRDefault="007E1694" w:rsidP="007D285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E1694" w:rsidRPr="001B5034" w:rsidTr="007D285B">
        <w:trPr>
          <w:cnfStyle w:val="000000010000" w:firstRow="0" w:lastRow="0" w:firstColumn="0" w:lastColumn="0" w:oddVBand="0" w:evenVBand="0" w:oddHBand="0" w:evenHBand="1" w:firstRowFirstColumn="0" w:firstRowLastColumn="0" w:lastRowFirstColumn="0" w:lastRowLastColumn="0"/>
        </w:trPr>
        <w:tc>
          <w:tcPr>
            <w:tcW w:w="1554" w:type="dxa"/>
          </w:tcPr>
          <w:p w:rsidR="007E1694" w:rsidRPr="005411A0" w:rsidRDefault="007E1694" w:rsidP="007D285B">
            <w:pPr>
              <w:rPr>
                <w:rStyle w:val="SAPMonospace"/>
              </w:rPr>
            </w:pPr>
            <w:r w:rsidRPr="005411A0">
              <w:rPr>
                <w:rStyle w:val="SAPMonospace"/>
              </w:rPr>
              <w:t>Example</w:t>
            </w:r>
          </w:p>
        </w:tc>
        <w:tc>
          <w:tcPr>
            <w:tcW w:w="11598" w:type="dxa"/>
          </w:tcPr>
          <w:p w:rsidR="007E1694" w:rsidRPr="001B5034" w:rsidRDefault="007E1694" w:rsidP="007D285B">
            <w:r w:rsidRPr="001B5034">
              <w:t>Output on the screen. This includes file and directory names and their paths, messages, names of variables and parameters, source text, and names of installation, upgrade and database tools.</w:t>
            </w:r>
          </w:p>
        </w:tc>
      </w:tr>
      <w:tr w:rsidR="007E1694" w:rsidRPr="001B5034" w:rsidTr="007D285B">
        <w:tc>
          <w:tcPr>
            <w:tcW w:w="1554" w:type="dxa"/>
          </w:tcPr>
          <w:p w:rsidR="007E1694" w:rsidRPr="005A5AB7" w:rsidRDefault="007E1694" w:rsidP="007D285B">
            <w:pPr>
              <w:rPr>
                <w:rStyle w:val="SAPEmphasis"/>
              </w:rPr>
            </w:pPr>
            <w:r w:rsidRPr="006F3BFA">
              <w:rPr>
                <w:rStyle w:val="SAPUserEntry"/>
              </w:rPr>
              <w:t>Example</w:t>
            </w:r>
          </w:p>
        </w:tc>
        <w:tc>
          <w:tcPr>
            <w:tcW w:w="11598" w:type="dxa"/>
          </w:tcPr>
          <w:p w:rsidR="007E1694" w:rsidRPr="001B5034" w:rsidRDefault="007E1694" w:rsidP="007D285B">
            <w:r w:rsidRPr="001B5034">
              <w:t>Exact user entry. These are words or characters that you enter in the system exactly as they appear in the documentation.</w:t>
            </w:r>
          </w:p>
        </w:tc>
      </w:tr>
      <w:tr w:rsidR="007E1694" w:rsidRPr="001B5034" w:rsidTr="007D285B">
        <w:trPr>
          <w:cnfStyle w:val="000000010000" w:firstRow="0" w:lastRow="0" w:firstColumn="0" w:lastColumn="0" w:oddVBand="0" w:evenVBand="0" w:oddHBand="0" w:evenHBand="1" w:firstRowFirstColumn="0" w:firstRowLastColumn="0" w:lastRowFirstColumn="0" w:lastRowLastColumn="0"/>
        </w:trPr>
        <w:tc>
          <w:tcPr>
            <w:tcW w:w="1554" w:type="dxa"/>
          </w:tcPr>
          <w:p w:rsidR="007E1694" w:rsidRPr="006F3BFA" w:rsidRDefault="007E1694" w:rsidP="007D285B">
            <w:pPr>
              <w:rPr>
                <w:rStyle w:val="SAPUserEntry"/>
              </w:rPr>
            </w:pPr>
            <w:r w:rsidRPr="006F3BFA">
              <w:rPr>
                <w:rStyle w:val="SAPUserEntry"/>
              </w:rPr>
              <w:t>&lt;Example&gt;</w:t>
            </w:r>
          </w:p>
        </w:tc>
        <w:tc>
          <w:tcPr>
            <w:tcW w:w="11598" w:type="dxa"/>
          </w:tcPr>
          <w:p w:rsidR="007E1694" w:rsidRPr="001B5034" w:rsidRDefault="007E1694" w:rsidP="007D285B">
            <w:r w:rsidRPr="001B5034">
              <w:t>Variable user entry. Angle brackets indicate that you replace these words and characters with appropriate entries to make entries in the system.</w:t>
            </w:r>
          </w:p>
        </w:tc>
      </w:tr>
      <w:tr w:rsidR="007E1694" w:rsidRPr="001B5034" w:rsidTr="007D285B">
        <w:tc>
          <w:tcPr>
            <w:tcW w:w="1554" w:type="dxa"/>
          </w:tcPr>
          <w:p w:rsidR="007E1694" w:rsidRPr="00601DC2" w:rsidRDefault="007E1694" w:rsidP="007D285B">
            <w:pPr>
              <w:rPr>
                <w:rStyle w:val="SAPKeyboard"/>
              </w:rPr>
            </w:pPr>
            <w:r w:rsidRPr="005E595C">
              <w:rPr>
                <w:rStyle w:val="SAPKeyboard"/>
              </w:rPr>
              <w:t>EXAMPLE</w:t>
            </w:r>
          </w:p>
        </w:tc>
        <w:tc>
          <w:tcPr>
            <w:tcW w:w="11598" w:type="dxa"/>
          </w:tcPr>
          <w:p w:rsidR="007E1694" w:rsidRPr="001B5034" w:rsidRDefault="007E1694" w:rsidP="007D285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E1694" w:rsidRDefault="007E1694" w:rsidP="006F0FB3"/>
    <w:p w:rsidR="007E1694" w:rsidRDefault="007E1694" w:rsidP="006F0FB3">
      <w:pPr>
        <w:spacing w:after="200" w:line="276" w:lineRule="auto"/>
      </w:pPr>
    </w:p>
    <w:p w:rsidR="007E1694" w:rsidRPr="00416A0C" w:rsidRDefault="007E1694" w:rsidP="006F0FB3">
      <w:pPr>
        <w:sectPr w:rsidR="007E1694" w:rsidRPr="00416A0C" w:rsidSect="007E1694">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E1694" w:rsidTr="007D285B">
        <w:trPr>
          <w:trHeight w:hRule="exact" w:val="227"/>
        </w:trPr>
        <w:tc>
          <w:tcPr>
            <w:tcW w:w="3969" w:type="dxa"/>
            <w:shd w:val="clear" w:color="auto" w:fill="000000" w:themeFill="text1"/>
            <w:tcMar>
              <w:top w:w="0" w:type="dxa"/>
              <w:bottom w:w="0" w:type="dxa"/>
            </w:tcMar>
          </w:tcPr>
          <w:p w:rsidR="007E1694" w:rsidRDefault="007E1694" w:rsidP="007D285B"/>
        </w:tc>
      </w:tr>
      <w:tr w:rsidR="007E1694" w:rsidTr="007D285B">
        <w:trPr>
          <w:trHeight w:hRule="exact" w:val="1134"/>
        </w:trPr>
        <w:tc>
          <w:tcPr>
            <w:tcW w:w="3969" w:type="dxa"/>
            <w:shd w:val="clear" w:color="auto" w:fill="FFFFFF" w:themeFill="background1"/>
          </w:tcPr>
          <w:p w:rsidR="007E1694" w:rsidRDefault="007E1694" w:rsidP="007D285B">
            <w:pPr>
              <w:pStyle w:val="SAPLastPageGray"/>
            </w:pPr>
            <w:r>
              <w:t>www.sap.com/contactsap</w:t>
            </w:r>
          </w:p>
        </w:tc>
      </w:tr>
      <w:tr w:rsidR="007E1694" w:rsidTr="007D285B">
        <w:trPr>
          <w:trHeight w:val="8120"/>
        </w:trPr>
        <w:tc>
          <w:tcPr>
            <w:tcW w:w="3969" w:type="dxa"/>
            <w:shd w:val="clear" w:color="auto" w:fill="FFFFFF" w:themeFill="background1"/>
            <w:vAlign w:val="bottom"/>
          </w:tcPr>
          <w:p w:rsidR="007E1694" w:rsidRPr="00CD309F" w:rsidRDefault="007E1694" w:rsidP="007D285B">
            <w:pPr>
              <w:pStyle w:val="SAPLastPageNormal"/>
            </w:pPr>
            <w:bookmarkStart w:id="30" w:name="copyright"/>
            <w:r>
              <w:t>© 20</w:t>
            </w:r>
            <w:r w:rsidRPr="0096337E">
              <w:t>20</w:t>
            </w:r>
            <w:r>
              <w:t xml:space="preserve"> SAP </w:t>
            </w:r>
            <w:r w:rsidRPr="001A58BA">
              <w:t>SE</w:t>
            </w:r>
            <w:r>
              <w:t xml:space="preserve"> or an SAP affiliate company</w:t>
            </w:r>
            <w:r w:rsidRPr="00CD309F">
              <w:t>. All rights reserv</w:t>
            </w:r>
            <w:r>
              <w:t>ed.</w:t>
            </w:r>
            <w:bookmarkEnd w:id="30"/>
          </w:p>
          <w:p w:rsidR="007E1694" w:rsidRDefault="007E1694" w:rsidP="007D285B">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E1694" w:rsidRPr="00F42CDC" w:rsidRDefault="007E1694" w:rsidP="007D285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E1694" w:rsidRPr="00F42CDC" w:rsidRDefault="007E1694" w:rsidP="007D285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E1694" w:rsidRPr="00F42CDC" w:rsidRDefault="007E1694" w:rsidP="007D285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E1694" w:rsidRDefault="007E1694" w:rsidP="007D285B">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31"/>
          </w:p>
          <w:p w:rsidR="007E1694" w:rsidRPr="00907380" w:rsidRDefault="007E1694" w:rsidP="007D285B">
            <w:pPr>
              <w:pStyle w:val="SAPMaterialNumber"/>
            </w:pPr>
          </w:p>
        </w:tc>
      </w:tr>
    </w:tbl>
    <w:p w:rsidR="007E1694" w:rsidRPr="006F0FB3" w:rsidRDefault="007E1694" w:rsidP="006F0FB3">
      <w:pPr>
        <w:pStyle w:val="SAPLastPageNormal"/>
        <w:rPr>
          <w:lang w:val="en-US"/>
        </w:rPr>
      </w:pPr>
      <w:r>
        <w:rPr>
          <w:noProof/>
          <w:lang w:eastAsia="de-DE"/>
        </w:rPr>
        <w:drawing>
          <wp:anchor distT="0" distB="0" distL="114300" distR="114300" simplePos="0" relativeHeight="251659264" behindDoc="0" locked="1" layoutInCell="1" allowOverlap="1" wp14:anchorId="6024CE65" wp14:editId="7F0ECFAE">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E1694" w:rsidRPr="006F0FB3">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E1694">
      <w:pPr>
        <w:spacing w:before="0" w:after="0" w:line="240" w:lineRule="auto"/>
      </w:pPr>
      <w:r>
        <w:separator/>
      </w:r>
    </w:p>
  </w:endnote>
  <w:endnote w:type="continuationSeparator" w:id="0">
    <w:p w:rsidR="00000000" w:rsidRDefault="007E1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default"/>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94" w:rsidRDefault="007E1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1694" w:rsidRPr="005D1853" w:rsidTr="004C6B99">
      <w:tc>
        <w:tcPr>
          <w:tcW w:w="5245" w:type="dxa"/>
          <w:vAlign w:val="bottom"/>
        </w:tcPr>
        <w:p w:rsidR="007E1694" w:rsidRDefault="007E1694" w:rsidP="004C6B99">
          <w:pPr>
            <w:pStyle w:val="SAPFooterleft"/>
          </w:pPr>
          <w:fldSimple w:instr=" REF maintitle \* MERGEFORMAT ">
            <w:r>
              <w:t>Ermittlung von Datenschutzrisiken mit SAP Privacy Governance (3KX)</w:t>
            </w:r>
          </w:fldSimple>
        </w:p>
        <w:p w:rsidR="007E1694" w:rsidRPr="001B2C66" w:rsidRDefault="007E1694" w:rsidP="004C6B9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Anwendungsfälle</w:t>
          </w:r>
          <w:r>
            <w:rPr>
              <w:noProof/>
            </w:rPr>
            <w:fldChar w:fldCharType="end"/>
          </w:r>
        </w:p>
      </w:tc>
      <w:tc>
        <w:tcPr>
          <w:tcW w:w="3544" w:type="dxa"/>
          <w:vAlign w:val="bottom"/>
        </w:tcPr>
        <w:p w:rsidR="007E1694" w:rsidRPr="00860C35" w:rsidRDefault="007E1694" w:rsidP="004C6B9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E1694">
            <w:rPr>
              <w:rStyle w:val="SAPFooterSecurityLevel"/>
            </w:rPr>
            <w:t>public</w:t>
          </w:r>
          <w:r>
            <w:rPr>
              <w:rStyle w:val="SAPFooterSecurityLevel"/>
            </w:rPr>
            <w:fldChar w:fldCharType="end"/>
          </w:r>
          <w:r w:rsidRPr="00860C35">
            <w:rPr>
              <w:rStyle w:val="SAPFooterSecurityLevel"/>
            </w:rPr>
            <w:t xml:space="preserve"> </w:t>
          </w:r>
        </w:p>
        <w:p w:rsidR="007E1694" w:rsidRPr="00860C35" w:rsidRDefault="007E1694" w:rsidP="004C6B9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1694" w:rsidRPr="004319A4" w:rsidRDefault="007E1694" w:rsidP="004C6B9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E1694" w:rsidRDefault="007E1694" w:rsidP="00021407">
    <w:pPr>
      <w:pStyle w:val="Footer"/>
    </w:pPr>
  </w:p>
  <w:p w:rsidR="007E1694" w:rsidRDefault="007E1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94" w:rsidRDefault="007E1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94" w:rsidRPr="007E1694" w:rsidRDefault="007E1694" w:rsidP="007E1694">
    <w:pPr>
      <w:pStyle w:val="Footer"/>
    </w:pPr>
    <w:bookmarkStart w:id="32" w:name="_GoBack"/>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787" w:rsidRPr="007E1694" w:rsidRDefault="007E1694" w:rsidP="007E16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94" w:rsidRPr="007E1694" w:rsidRDefault="007E1694" w:rsidP="007E1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E1694">
      <w:pPr>
        <w:spacing w:before="0" w:after="0" w:line="240" w:lineRule="auto"/>
      </w:pPr>
      <w:r>
        <w:rPr>
          <w:color w:val="000000"/>
        </w:rPr>
        <w:separator/>
      </w:r>
    </w:p>
  </w:footnote>
  <w:footnote w:type="continuationSeparator" w:id="0">
    <w:p w:rsidR="00000000" w:rsidRDefault="007E16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94" w:rsidRDefault="007E1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94" w:rsidRPr="005B6104" w:rsidRDefault="007E1694" w:rsidP="00982ED4">
    <w:pPr>
      <w:pStyle w:val="SAPHeader"/>
      <w:rPr>
        <w:sz w:val="4"/>
        <w:szCs w:val="4"/>
        <w:lang w:val="de-DE"/>
      </w:rPr>
    </w:pPr>
  </w:p>
  <w:p w:rsidR="007E1694" w:rsidRPr="00982ED4" w:rsidRDefault="007E1694" w:rsidP="00982ED4">
    <w:pPr>
      <w:pStyle w:val="Header"/>
      <w:rPr>
        <w:sz w:val="2"/>
        <w:szCs w:val="2"/>
      </w:rPr>
    </w:pPr>
  </w:p>
  <w:p w:rsidR="007E1694" w:rsidRDefault="007E1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1694" w:rsidRPr="005D1853" w:rsidTr="004C6B99">
      <w:tc>
        <w:tcPr>
          <w:tcW w:w="5245" w:type="dxa"/>
          <w:vAlign w:val="bottom"/>
        </w:tcPr>
        <w:p w:rsidR="007E1694" w:rsidRDefault="007E1694" w:rsidP="004C6B99">
          <w:pPr>
            <w:pStyle w:val="SAPFooterleft"/>
          </w:pPr>
          <w:fldSimple w:instr=" REF maintitle \* MERGEFORMAT ">
            <w:sdt>
              <w:sdtPr>
                <w:alias w:val="Scope item name"/>
                <w:tag w:val="Scope item name"/>
                <w:id w:val="-1612121847"/>
                <w:placeholder>
                  <w:docPart w:val="10589CA8C1B0439381815ED9A61ED6FB"/>
                </w:placeholder>
                <w:showingPlcHdr/>
              </w:sdtPr>
              <w:sdtContent>
                <w:r>
                  <w:t>Enter Scope Item Name</w:t>
                </w:r>
              </w:sdtContent>
            </w:sdt>
          </w:fldSimple>
        </w:p>
        <w:p w:rsidR="007E1694" w:rsidRPr="001B2C66" w:rsidRDefault="007E1694" w:rsidP="004C6B99">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7E1694" w:rsidRPr="00860C35" w:rsidRDefault="007E1694" w:rsidP="004C6B9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E1694" w:rsidRPr="00860C35" w:rsidRDefault="007E1694" w:rsidP="004C6B9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1694" w:rsidRPr="004319A4" w:rsidRDefault="007E1694" w:rsidP="004C6B9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E1694" w:rsidRDefault="007E1694" w:rsidP="00021407">
    <w:pPr>
      <w:pStyle w:val="Footer"/>
    </w:pPr>
  </w:p>
  <w:p w:rsidR="007E1694" w:rsidRDefault="007E16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E1694" w:rsidRPr="005D1853" w:rsidTr="004C6B99">
      <w:tc>
        <w:tcPr>
          <w:tcW w:w="5245" w:type="dxa"/>
          <w:vAlign w:val="bottom"/>
        </w:tcPr>
        <w:p w:rsidR="007E1694" w:rsidRDefault="007E1694" w:rsidP="004C6B99">
          <w:pPr>
            <w:pStyle w:val="SAPFooterleft"/>
          </w:pPr>
          <w:fldSimple w:instr=" REF maintitle \* MERGEFORMAT ">
            <w:sdt>
              <w:sdtPr>
                <w:alias w:val="Scope item name"/>
                <w:tag w:val="Scope item name"/>
                <w:id w:val="-1345085701"/>
                <w:placeholder>
                  <w:docPart w:val="908A0A30C9624F83B9F88EFE3FFF7A7A"/>
                </w:placeholder>
                <w:showingPlcHdr/>
              </w:sdtPr>
              <w:sdtContent>
                <w:r>
                  <w:t>Enter Scope Item Name</w:t>
                </w:r>
              </w:sdtContent>
            </w:sdt>
          </w:fldSimple>
        </w:p>
        <w:p w:rsidR="007E1694" w:rsidRPr="001B2C66" w:rsidRDefault="007E1694" w:rsidP="004C6B9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E1694" w:rsidRPr="00860C35" w:rsidRDefault="007E1694" w:rsidP="004C6B9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E1694" w:rsidRPr="00860C35" w:rsidRDefault="007E1694" w:rsidP="004C6B9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E1694" w:rsidRPr="004319A4" w:rsidRDefault="007E1694" w:rsidP="004C6B9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E1694" w:rsidRDefault="007E1694" w:rsidP="00021407">
    <w:pPr>
      <w:pStyle w:val="Footer"/>
    </w:pPr>
  </w:p>
  <w:p w:rsidR="007E1694" w:rsidRPr="007E1694" w:rsidRDefault="007E1694" w:rsidP="007E16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94" w:rsidRPr="007E1694" w:rsidRDefault="007E1694" w:rsidP="007E16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94" w:rsidRPr="007E1694" w:rsidRDefault="007E1694" w:rsidP="007E1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3C613E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07A55F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C38BAC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8CA3239"/>
    <w:multiLevelType w:val="multilevel"/>
    <w:tmpl w:val="E8E060B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9870AF4"/>
    <w:multiLevelType w:val="multilevel"/>
    <w:tmpl w:val="C8F84AE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4"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1B3B6F24"/>
    <w:multiLevelType w:val="multilevel"/>
    <w:tmpl w:val="22F4471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4"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42696B64"/>
    <w:multiLevelType w:val="multilevel"/>
    <w:tmpl w:val="6F1CED9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4"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E388F"/>
    <w:rsid w:val="006E388F"/>
    <w:rsid w:val="007E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9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bidi="ar-SA"/>
    </w:rPr>
  </w:style>
  <w:style w:type="paragraph" w:styleId="Heading1">
    <w:name w:val="heading 1"/>
    <w:basedOn w:val="Normal"/>
    <w:next w:val="Normal"/>
    <w:link w:val="Heading1Char"/>
    <w:uiPriority w:val="9"/>
    <w:qFormat/>
    <w:rsid w:val="007E1694"/>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E169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E169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E1694"/>
    <w:pPr>
      <w:numPr>
        <w:ilvl w:val="3"/>
      </w:numPr>
      <w:outlineLvl w:val="3"/>
    </w:pPr>
    <w:rPr>
      <w:bCs/>
      <w:iCs/>
    </w:rPr>
  </w:style>
  <w:style w:type="paragraph" w:styleId="Heading5">
    <w:name w:val="heading 5"/>
    <w:basedOn w:val="Heading2"/>
    <w:next w:val="Normal"/>
    <w:link w:val="Heading5Char"/>
    <w:unhideWhenUsed/>
    <w:qFormat/>
    <w:rsid w:val="007E169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link w:val="StandardChar"/>
    <w:pPr>
      <w:widowControl/>
      <w:suppressLineNumbers/>
      <w:spacing w:before="80" w:after="80"/>
    </w:pPr>
    <w:rPr>
      <w:sz w:val="20"/>
      <w:szCs w:val="24"/>
      <w:lang w:bidi="ar-SA"/>
    </w:r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pPr>
      <w:pBdr>
        <w:top w:val="none" w:sz="0" w:space="0" w:color="auto"/>
        <w:bottom w:val="none" w:sz="0" w:space="0" w:color="auto"/>
      </w:pBdr>
    </w:pPr>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Textbody">
    <w:name w:val="Text body"/>
    <w:basedOn w:val="Standard"/>
    <w:pPr>
      <w:spacing w:before="0" w:after="120"/>
    </w:pPr>
  </w:style>
  <w:style w:type="paragraph" w:customStyle="1" w:styleId="SAPKeyblockTitle">
    <w:name w:val="SAP_KeyblockTitle"/>
    <w:basedOn w:val="Normal"/>
    <w:next w:val="Normal"/>
    <w:qFormat/>
    <w:rsid w:val="007E1694"/>
    <w:pPr>
      <w:keepNext/>
      <w:keepLines/>
      <w:spacing w:before="560" w:after="280" w:line="280" w:lineRule="exact"/>
    </w:pPr>
    <w:rPr>
      <w:rFonts w:ascii="BentonSans Bold" w:hAnsi="BentonSans Bold"/>
      <w:color w:val="666666"/>
      <w:sz w:val="24"/>
    </w:rPr>
  </w:style>
  <w:style w:type="paragraph" w:customStyle="1" w:styleId="SAPTableHeader">
    <w:name w:val="SAP_TableHeader"/>
    <w:basedOn w:val="SAPSectionTitleWithinKeyblocks"/>
    <w:next w:val="Normal"/>
    <w:qFormat/>
    <w:rsid w:val="007E1694"/>
    <w:pPr>
      <w:spacing w:before="60" w:after="60"/>
    </w:pPr>
    <w:rPr>
      <w:b/>
      <w:bCs/>
      <w:color w:val="FFFFFF" w:themeColor="background1"/>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paragraph" w:customStyle="1" w:styleId="footnote">
    <w:name w:val="footnote"/>
    <w:basedOn w:val="Default20Text"/>
    <w:pPr>
      <w:suppressLineNumbers/>
      <w:ind w:left="283" w:hanging="283"/>
    </w:pPr>
    <w:rPr>
      <w:rFonts w:ascii="Courier" w:hAnsi="Courier"/>
      <w:sz w:val="20"/>
      <w:szCs w:val="20"/>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2"/>
    </w:pPr>
  </w:style>
  <w:style w:type="paragraph" w:customStyle="1" w:styleId="listblockquote10">
    <w:name w:val="list_blockquote_10"/>
    <w:basedOn w:val="Default20Text"/>
    <w:pPr>
      <w:ind w:left="3400"/>
    </w:pPr>
  </w:style>
  <w:style w:type="paragraph" w:customStyle="1" w:styleId="listcodeblock10">
    <w:name w:val="list_codeblock_10"/>
    <w:basedOn w:val="Default20Text"/>
    <w:pPr>
      <w:ind w:left="3400"/>
    </w:pPr>
  </w:style>
  <w:style w:type="paragraph" w:customStyle="1" w:styleId="listtabletitle10">
    <w:name w:val="list_table_title_10"/>
    <w:pPr>
      <w:keepNext/>
      <w:ind w:left="3112"/>
    </w:pPr>
  </w:style>
  <w:style w:type="paragraph" w:customStyle="1" w:styleId="listfiguretitle10">
    <w:name w:val="list_figure_title_10"/>
    <w:pPr>
      <w:keepNext/>
      <w:ind w:left="3112"/>
    </w:pPr>
  </w:style>
  <w:style w:type="paragraph" w:customStyle="1" w:styleId="listdraft-comment10">
    <w:name w:val="list_draft-comment_10"/>
    <w:basedOn w:val="draftcommentparagraph"/>
    <w:pPr>
      <w:ind w:left="3112"/>
    </w:p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styleId="Subtitle">
    <w:name w:val="Subtitle"/>
    <w:basedOn w:val="Heading"/>
    <w:next w:val="Textbody"/>
    <w:uiPriority w:val="11"/>
    <w:qFormat/>
    <w:pPr>
      <w:jc w:val="center"/>
    </w:pPr>
    <w:rPr>
      <w:i/>
      <w:iCs/>
    </w:rPr>
  </w:style>
  <w:style w:type="paragraph" w:customStyle="1" w:styleId="borderparagraph">
    <w:name w:val="border_paragraph"/>
    <w:basedOn w:val="Standard"/>
    <w:pPr>
      <w:pBdr>
        <w:top w:val="single" w:sz="2" w:space="0" w:color="000000"/>
        <w:left w:val="single" w:sz="2" w:space="0" w:color="000000"/>
        <w:bottom w:val="single" w:sz="2" w:space="0" w:color="000000"/>
        <w:right w:val="single" w:sz="2" w:space="0" w:color="000000"/>
      </w:pBdr>
    </w:pPr>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paragraph" w:customStyle="1" w:styleId="Index">
    <w:name w:val="Index"/>
    <w:basedOn w:val="Default20Text"/>
    <w:pPr>
      <w:suppressLineNumbers/>
    </w:pPr>
    <w:rPr>
      <w:color w:val="0000FF"/>
    </w:rPr>
  </w:style>
  <w:style w:type="paragraph" w:customStyle="1" w:styleId="ContentsHeading">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paragraph" w:customStyle="1" w:styleId="TableContents">
    <w:name w:val="Table Contents"/>
    <w:basedOn w:val="Standard"/>
  </w:style>
  <w:style w:type="character" w:customStyle="1" w:styleId="defaulttextstyle">
    <w:name w:val="default_text_style"/>
    <w:rPr>
      <w:sz w:val="21"/>
      <w:szCs w:val="21"/>
    </w:rPr>
  </w:style>
  <w:style w:type="character" w:customStyle="1" w:styleId="requiredcleanupstyle">
    <w:name w:val="required_cleanup_style"/>
    <w:rPr>
      <w:color w:val="CC3333"/>
    </w:rPr>
  </w:style>
  <w:style w:type="character" w:customStyle="1" w:styleId="SAPEmphasis">
    <w:name w:val="SAP_Emphasis"/>
    <w:basedOn w:val="DefaultParagraphFont"/>
    <w:uiPriority w:val="1"/>
    <w:qFormat/>
    <w:rsid w:val="007E169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E169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E1694"/>
    <w:rPr>
      <w:rFonts w:ascii="Courier New" w:hAnsi="Courier New" w:cs="Times New Roman"/>
      <w:b/>
      <w:color w:val="45157E"/>
      <w:sz w:val="18"/>
    </w:rPr>
  </w:style>
  <w:style w:type="character" w:customStyle="1" w:styleId="SAPMonospace">
    <w:name w:val="SAP_Monospace"/>
    <w:basedOn w:val="DefaultParagraphFont"/>
    <w:uiPriority w:val="1"/>
    <w:qFormat/>
    <w:rsid w:val="007E169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yntaxdiagramtext">
    <w:name w:val="syntaxdiagram_text"/>
    <w:basedOn w:val="defaulttextstyle"/>
    <w:rPr>
      <w:color w:val="800000"/>
      <w:sz w:val="21"/>
      <w:szCs w:val="21"/>
    </w:rPr>
  </w:style>
  <w:style w:type="character" w:customStyle="1" w:styleId="underlinenone">
    <w:name w:val="underline_none"/>
    <w:basedOn w:val="defaulttextstyle"/>
    <w:rPr>
      <w:sz w:val="21"/>
      <w:szCs w:val="21"/>
      <w:u w:val="none"/>
    </w:rPr>
  </w:style>
  <w:style w:type="character" w:customStyle="1" w:styleId="ulliststyle1">
    <w:name w:val="ul_list_style_1"/>
  </w:style>
  <w:style w:type="character" w:customStyle="1" w:styleId="ulliststyle2">
    <w:name w:val="ul_list_style_2"/>
  </w:style>
  <w:style w:type="character" w:customStyle="1" w:styleId="ulliststyle3">
    <w:name w:val="ul_list_style_3"/>
  </w:style>
  <w:style w:type="character" w:customStyle="1" w:styleId="ulliststyle4">
    <w:name w:val="ul_list_style_4"/>
  </w:style>
  <w:style w:type="character" w:customStyle="1" w:styleId="ulliststyle5">
    <w:name w:val="ul_list_style_5"/>
  </w:style>
  <w:style w:type="character" w:customStyle="1" w:styleId="ulliststyle6">
    <w:name w:val="ul_list_style_6"/>
  </w:style>
  <w:style w:type="character" w:customStyle="1" w:styleId="ulliststyle7">
    <w:name w:val="ul_list_style_7"/>
  </w:style>
  <w:style w:type="character" w:customStyle="1" w:styleId="ulliststyle8">
    <w:name w:val="ul_list_style_8"/>
  </w:style>
  <w:style w:type="character" w:customStyle="1" w:styleId="ulliststyle9">
    <w:name w:val="ul_list_style_9"/>
  </w:style>
  <w:style w:type="character" w:customStyle="1" w:styleId="ulliststyle10">
    <w:name w:val="ul_list_style_10"/>
  </w:style>
  <w:style w:type="character" w:customStyle="1" w:styleId="simpleliststyle1">
    <w:name w:val="simple_list_style_1"/>
  </w:style>
  <w:style w:type="character" w:customStyle="1" w:styleId="simpleliststyle2">
    <w:name w:val="simple_list_style_2"/>
  </w:style>
  <w:style w:type="character" w:customStyle="1" w:styleId="simpleliststyle3">
    <w:name w:val="simple_list_style_3"/>
  </w:style>
  <w:style w:type="character" w:customStyle="1" w:styleId="simpleliststyle4">
    <w:name w:val="simple_list_style_4"/>
  </w:style>
  <w:style w:type="character" w:customStyle="1" w:styleId="simpleliststyle5">
    <w:name w:val="simple_list_style_5"/>
  </w:style>
  <w:style w:type="character" w:customStyle="1" w:styleId="simpleliststyle6">
    <w:name w:val="simple_list_style_6"/>
  </w:style>
  <w:style w:type="character" w:customStyle="1" w:styleId="simpleliststyle7">
    <w:name w:val="simple_list_style_7"/>
  </w:style>
  <w:style w:type="character" w:customStyle="1" w:styleId="simpleliststyle8">
    <w:name w:val="simple_list_style_8"/>
  </w:style>
  <w:style w:type="character" w:customStyle="1" w:styleId="simpleliststyle9">
    <w:name w:val="simple_list_style_9"/>
  </w:style>
  <w:style w:type="character" w:customStyle="1" w:styleId="simpleliststyle10">
    <w:name w:val="simple_list_style_10"/>
  </w:style>
  <w:style w:type="character" w:customStyle="1" w:styleId="Internetlink">
    <w:name w:val="Internet link"/>
    <w:rPr>
      <w:color w:val="000080"/>
      <w:u w:val="single"/>
      <w:lang/>
    </w:r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E169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E1694"/>
    <w:pPr>
      <w:keepNext w:val="0"/>
      <w:spacing w:before="0"/>
    </w:pPr>
  </w:style>
  <w:style w:type="paragraph" w:styleId="TOC3">
    <w:name w:val="toc 3"/>
    <w:basedOn w:val="TOC1"/>
    <w:autoRedefine/>
    <w:uiPriority w:val="39"/>
    <w:unhideWhenUsed/>
    <w:rsid w:val="007E1694"/>
    <w:pPr>
      <w:keepNext w:val="0"/>
      <w:tabs>
        <w:tab w:val="left" w:pos="1418"/>
      </w:tabs>
      <w:spacing w:before="0"/>
      <w:ind w:left="1418" w:hanging="794"/>
    </w:pPr>
  </w:style>
  <w:style w:type="paragraph" w:styleId="TOC4">
    <w:name w:val="toc 4"/>
    <w:basedOn w:val="TOC3"/>
    <w:next w:val="Normal"/>
    <w:autoRedefine/>
    <w:uiPriority w:val="39"/>
    <w:unhideWhenUsed/>
    <w:rsid w:val="007E1694"/>
    <w:pPr>
      <w:tabs>
        <w:tab w:val="left" w:pos="1985"/>
      </w:tabs>
      <w:ind w:right="851"/>
    </w:pPr>
  </w:style>
  <w:style w:type="paragraph" w:styleId="TOC5">
    <w:name w:val="toc 5"/>
    <w:basedOn w:val="TOC4"/>
    <w:next w:val="Normal"/>
    <w:autoRedefine/>
    <w:uiPriority w:val="39"/>
    <w:unhideWhenUsed/>
    <w:rsid w:val="007E1694"/>
  </w:style>
  <w:style w:type="character" w:customStyle="1" w:styleId="SAPKeyboard">
    <w:name w:val="SAP_Keyboard"/>
    <w:basedOn w:val="SAPMonospace"/>
    <w:uiPriority w:val="1"/>
    <w:qFormat/>
    <w:rsid w:val="007E169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E169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E1694"/>
    <w:rPr>
      <w:sz w:val="20"/>
      <w:szCs w:val="24"/>
      <w:lang w:bidi="ar-SA"/>
    </w:rPr>
  </w:style>
  <w:style w:type="character" w:customStyle="1" w:styleId="TitleChar">
    <w:name w:val="Title Char"/>
    <w:basedOn w:val="StandardChar"/>
    <w:link w:val="Title"/>
    <w:uiPriority w:val="10"/>
    <w:rsid w:val="007E1694"/>
    <w:rPr>
      <w:rFonts w:cs="Arial"/>
      <w:b/>
      <w:bCs/>
      <w:color w:val="333399"/>
      <w:sz w:val="48"/>
      <w:szCs w:val="32"/>
      <w:lang w:bidi="ar-SA"/>
    </w:rPr>
  </w:style>
  <w:style w:type="character" w:customStyle="1" w:styleId="SAPNoteHeadingChar">
    <w:name w:val="SAP_NoteHeading Char"/>
    <w:basedOn w:val="TitleChar"/>
    <w:link w:val="SAPNoteHeading"/>
    <w:rsid w:val="007E1694"/>
    <w:rPr>
      <w:rFonts w:ascii="BentonSans Regular" w:eastAsia="MS Mincho" w:hAnsi="BentonSans Regular" w:cs="Times New Roman"/>
      <w:b w:val="0"/>
      <w:bCs w:val="0"/>
      <w:color w:val="666666"/>
      <w:kern w:val="0"/>
      <w:sz w:val="22"/>
      <w:szCs w:val="24"/>
      <w:lang w:eastAsia="en-US" w:bidi="ar-SA"/>
    </w:rPr>
  </w:style>
  <w:style w:type="paragraph" w:customStyle="1" w:styleId="SAPGraphicParagraph">
    <w:name w:val="SAP_GraphicParagraph"/>
    <w:basedOn w:val="Normal"/>
    <w:next w:val="Normal"/>
    <w:link w:val="SAPGraphicParagraphChar"/>
    <w:rsid w:val="007E169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E1694"/>
    <w:rPr>
      <w:rFonts w:ascii="BentonSans Book" w:eastAsia="MS Mincho" w:hAnsi="BentonSans Book" w:cs="Times New Roman"/>
      <w:b w:val="0"/>
      <w:bCs w:val="0"/>
      <w:color w:val="333399"/>
      <w:kern w:val="0"/>
      <w:sz w:val="16"/>
      <w:szCs w:val="24"/>
      <w:lang w:eastAsia="en-US" w:bidi="ar-SA"/>
    </w:rPr>
  </w:style>
  <w:style w:type="paragraph" w:customStyle="1" w:styleId="SAPSectionTitleWithinKeyblocks">
    <w:name w:val="SAP_SectionTitle_(WithinKeyblocks)"/>
    <w:basedOn w:val="Normal"/>
    <w:next w:val="Normal"/>
    <w:link w:val="SAPSectionTitleWithinKeyblocksChar"/>
    <w:qFormat/>
    <w:rsid w:val="007E169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E1694"/>
    <w:rPr>
      <w:rFonts w:ascii="BentonSans Bold" w:eastAsia="MS Mincho" w:hAnsi="BentonSans Bold" w:cs="Times New Roman"/>
      <w:b w:val="0"/>
      <w:bCs w:val="0"/>
      <w:color w:val="666666"/>
      <w:kern w:val="0"/>
      <w:sz w:val="20"/>
      <w:szCs w:val="24"/>
      <w:lang w:eastAsia="en-US" w:bidi="ar-SA"/>
    </w:rPr>
  </w:style>
  <w:style w:type="paragraph" w:customStyle="1" w:styleId="SAPHeading1NoNumber">
    <w:name w:val="SAP_Heading1NoNumber"/>
    <w:basedOn w:val="Heading1"/>
    <w:next w:val="Normal"/>
    <w:link w:val="SAPHeading1NoNumberChar"/>
    <w:rsid w:val="007E1694"/>
    <w:pPr>
      <w:numPr>
        <w:numId w:val="0"/>
      </w:numPr>
      <w:outlineLvl w:val="9"/>
    </w:pPr>
    <w:rPr>
      <w:b/>
    </w:rPr>
  </w:style>
  <w:style w:type="character" w:customStyle="1" w:styleId="SAPHeading1NoNumberChar">
    <w:name w:val="SAP_Heading1NoNumber Char"/>
    <w:basedOn w:val="TitleChar"/>
    <w:link w:val="SAPHeading1NoNumber"/>
    <w:rsid w:val="007E1694"/>
    <w:rPr>
      <w:rFonts w:ascii="BentonSans Bold" w:eastAsiaTheme="majorEastAsia" w:hAnsi="BentonSans Bold" w:cs="Times New Roman"/>
      <w:b w:val="0"/>
      <w:bCs/>
      <w:color w:val="666666"/>
      <w:kern w:val="0"/>
      <w:sz w:val="40"/>
      <w:szCs w:val="28"/>
      <w:lang w:eastAsia="en-US" w:bidi="ar-SA"/>
    </w:rPr>
  </w:style>
  <w:style w:type="table" w:customStyle="1" w:styleId="SAPStandardTable">
    <w:name w:val="SAP_StandardTable"/>
    <w:basedOn w:val="TableGrid"/>
    <w:uiPriority w:val="99"/>
    <w:qFormat/>
    <w:rsid w:val="007E1694"/>
    <w:pPr>
      <w:widowControl/>
      <w:suppressAutoHyphens w:val="0"/>
      <w:autoSpaceDN/>
      <w:textAlignment w:val="auto"/>
    </w:pPr>
    <w:rPr>
      <w:rFonts w:ascii="BentonSans Book" w:eastAsia="MS Mincho" w:hAnsi="BentonSans Book" w:cs="Times New Roman"/>
      <w:kern w:val="0"/>
      <w:sz w:val="18"/>
      <w:szCs w:val="24"/>
      <w:lang w:eastAsia="en-US" w:bidi="ar-SA"/>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E1694"/>
    <w:pPr>
      <w:numPr>
        <w:numId w:val="10"/>
      </w:numPr>
      <w:tabs>
        <w:tab w:val="num" w:pos="360"/>
      </w:tabs>
      <w:ind w:left="0" w:firstLine="0"/>
    </w:pPr>
  </w:style>
  <w:style w:type="paragraph" w:styleId="ListNumber2">
    <w:name w:val="List Number 2"/>
    <w:basedOn w:val="Normal"/>
    <w:uiPriority w:val="99"/>
    <w:unhideWhenUsed/>
    <w:qFormat/>
    <w:rsid w:val="007E1694"/>
    <w:pPr>
      <w:numPr>
        <w:ilvl w:val="1"/>
        <w:numId w:val="10"/>
      </w:numPr>
      <w:tabs>
        <w:tab w:val="num" w:pos="360"/>
      </w:tabs>
      <w:ind w:left="0" w:firstLine="0"/>
    </w:pPr>
  </w:style>
  <w:style w:type="paragraph" w:styleId="ListNumber3">
    <w:name w:val="List Number 3"/>
    <w:basedOn w:val="Normal"/>
    <w:uiPriority w:val="99"/>
    <w:unhideWhenUsed/>
    <w:qFormat/>
    <w:rsid w:val="007E1694"/>
    <w:pPr>
      <w:numPr>
        <w:ilvl w:val="2"/>
        <w:numId w:val="10"/>
      </w:numPr>
      <w:tabs>
        <w:tab w:val="num" w:pos="360"/>
      </w:tabs>
      <w:ind w:left="0" w:firstLine="0"/>
    </w:pPr>
  </w:style>
  <w:style w:type="paragraph" w:styleId="ListBullet">
    <w:name w:val="List Bullet"/>
    <w:basedOn w:val="Normal"/>
    <w:uiPriority w:val="99"/>
    <w:unhideWhenUsed/>
    <w:qFormat/>
    <w:rsid w:val="007E1694"/>
    <w:pPr>
      <w:numPr>
        <w:numId w:val="12"/>
      </w:numPr>
    </w:pPr>
  </w:style>
  <w:style w:type="paragraph" w:styleId="ListBullet2">
    <w:name w:val="List Bullet 2"/>
    <w:basedOn w:val="Normal"/>
    <w:uiPriority w:val="99"/>
    <w:unhideWhenUsed/>
    <w:qFormat/>
    <w:rsid w:val="007E1694"/>
    <w:pPr>
      <w:numPr>
        <w:numId w:val="14"/>
      </w:numPr>
    </w:pPr>
  </w:style>
  <w:style w:type="paragraph" w:styleId="ListBullet3">
    <w:name w:val="List Bullet 3"/>
    <w:basedOn w:val="Normal"/>
    <w:uiPriority w:val="99"/>
    <w:unhideWhenUsed/>
    <w:qFormat/>
    <w:rsid w:val="007E1694"/>
    <w:pPr>
      <w:numPr>
        <w:numId w:val="16"/>
      </w:numPr>
    </w:pPr>
  </w:style>
  <w:style w:type="paragraph" w:styleId="ListContinue">
    <w:name w:val="List Continue"/>
    <w:basedOn w:val="Normal"/>
    <w:uiPriority w:val="99"/>
    <w:unhideWhenUsed/>
    <w:qFormat/>
    <w:rsid w:val="007E1694"/>
    <w:pPr>
      <w:ind w:left="340"/>
    </w:pPr>
  </w:style>
  <w:style w:type="paragraph" w:styleId="ListContinue2">
    <w:name w:val="List Continue 2"/>
    <w:basedOn w:val="Normal"/>
    <w:uiPriority w:val="99"/>
    <w:unhideWhenUsed/>
    <w:qFormat/>
    <w:rsid w:val="007E1694"/>
    <w:pPr>
      <w:ind w:left="680"/>
    </w:pPr>
  </w:style>
  <w:style w:type="paragraph" w:styleId="ListContinue3">
    <w:name w:val="List Continue 3"/>
    <w:basedOn w:val="Normal"/>
    <w:uiPriority w:val="99"/>
    <w:unhideWhenUsed/>
    <w:qFormat/>
    <w:rsid w:val="007E1694"/>
    <w:pPr>
      <w:ind w:left="1021"/>
    </w:pPr>
  </w:style>
  <w:style w:type="character" w:customStyle="1" w:styleId="Heading1Char">
    <w:name w:val="Heading 1 Char"/>
    <w:basedOn w:val="DefaultParagraphFont"/>
    <w:link w:val="Heading1"/>
    <w:uiPriority w:val="9"/>
    <w:locked/>
    <w:rsid w:val="007E1694"/>
    <w:rPr>
      <w:rFonts w:ascii="BentonSans Bold" w:eastAsiaTheme="majorEastAsia" w:hAnsi="BentonSans Bold" w:cs="Times New Roman"/>
      <w:bCs/>
      <w:color w:val="666666"/>
      <w:kern w:val="0"/>
      <w:sz w:val="40"/>
      <w:szCs w:val="28"/>
      <w:lang w:eastAsia="en-US" w:bidi="ar-SA"/>
    </w:rPr>
  </w:style>
  <w:style w:type="character" w:customStyle="1" w:styleId="Heading2Char">
    <w:name w:val="Heading 2 Char"/>
    <w:aliases w:val="Chapter Title Char"/>
    <w:basedOn w:val="DefaultParagraphFont"/>
    <w:link w:val="Heading2"/>
    <w:locked/>
    <w:rsid w:val="007E1694"/>
    <w:rPr>
      <w:rFonts w:ascii="BentonSans Bold" w:eastAsiaTheme="majorEastAsia" w:hAnsi="BentonSans Bold" w:cs="Times New Roman"/>
      <w:color w:val="666666"/>
      <w:kern w:val="0"/>
      <w:sz w:val="30"/>
      <w:szCs w:val="26"/>
      <w:lang w:eastAsia="en-US" w:bidi="ar-SA"/>
    </w:rPr>
  </w:style>
  <w:style w:type="character" w:customStyle="1" w:styleId="Heading3Char">
    <w:name w:val="Heading 3 Char"/>
    <w:basedOn w:val="DefaultParagraphFont"/>
    <w:link w:val="Heading3"/>
    <w:locked/>
    <w:rsid w:val="007E1694"/>
    <w:rPr>
      <w:rFonts w:ascii="BentonSans Bold" w:eastAsiaTheme="majorEastAsia" w:hAnsi="BentonSans Bold" w:cs="Times New Roman"/>
      <w:bCs/>
      <w:color w:val="666666"/>
      <w:kern w:val="0"/>
      <w:sz w:val="30"/>
      <w:szCs w:val="26"/>
      <w:lang w:eastAsia="en-US" w:bidi="ar-SA"/>
    </w:rPr>
  </w:style>
  <w:style w:type="character" w:customStyle="1" w:styleId="Heading4Char">
    <w:name w:val="Heading 4 Char"/>
    <w:aliases w:val="Map Title Char,Bullet 1 Char,PA Micro Section Char,ASAPHeading 4 Char"/>
    <w:basedOn w:val="DefaultParagraphFont"/>
    <w:link w:val="Heading4"/>
    <w:rsid w:val="007E1694"/>
    <w:rPr>
      <w:rFonts w:ascii="BentonSans Bold" w:eastAsiaTheme="majorEastAsia" w:hAnsi="BentonSans Bold" w:cs="Times New Roman"/>
      <w:bCs/>
      <w:iCs/>
      <w:color w:val="666666"/>
      <w:kern w:val="0"/>
      <w:sz w:val="30"/>
      <w:szCs w:val="26"/>
      <w:lang w:eastAsia="en-US" w:bidi="ar-SA"/>
    </w:rPr>
  </w:style>
  <w:style w:type="character" w:customStyle="1" w:styleId="Heading5Char">
    <w:name w:val="Heading 5 Char"/>
    <w:basedOn w:val="DefaultParagraphFont"/>
    <w:link w:val="Heading5"/>
    <w:rsid w:val="007E1694"/>
    <w:rPr>
      <w:rFonts w:ascii="BentonSans Bold" w:eastAsiaTheme="majorEastAsia" w:hAnsi="BentonSans Bold" w:cs="Times New Roman"/>
      <w:color w:val="666666"/>
      <w:kern w:val="0"/>
      <w:sz w:val="30"/>
      <w:szCs w:val="26"/>
      <w:lang w:eastAsia="en-US" w:bidi="ar-SA"/>
    </w:rPr>
  </w:style>
  <w:style w:type="table" w:styleId="TableGrid">
    <w:name w:val="Table Grid"/>
    <w:basedOn w:val="TableNormal"/>
    <w:uiPriority w:val="59"/>
    <w:rsid w:val="007E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E1694"/>
    <w:rPr>
      <w:color w:val="auto"/>
      <w:sz w:val="24"/>
    </w:rPr>
  </w:style>
  <w:style w:type="paragraph" w:customStyle="1" w:styleId="SAPMainTitle">
    <w:name w:val="SAP_MainTitle"/>
    <w:basedOn w:val="Normal"/>
    <w:next w:val="Normal"/>
    <w:rsid w:val="007E169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E1694"/>
    <w:pPr>
      <w:spacing w:line="260" w:lineRule="exact"/>
      <w:jc w:val="right"/>
    </w:pPr>
    <w:rPr>
      <w:caps/>
      <w:color w:val="auto"/>
      <w:spacing w:val="10"/>
      <w:sz w:val="20"/>
    </w:rPr>
  </w:style>
  <w:style w:type="paragraph" w:customStyle="1" w:styleId="SAPDocumentVersion">
    <w:name w:val="SAP_DocumentVersion"/>
    <w:basedOn w:val="SAPSecurityLevel"/>
    <w:rsid w:val="007E169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E1694"/>
    <w:rPr>
      <w:rFonts w:ascii="BentonSans Book" w:hAnsi="BentonSans Book" w:cs="Times New Roman"/>
      <w:color w:val="0076CB"/>
      <w:sz w:val="12"/>
      <w:u w:val="none"/>
    </w:rPr>
  </w:style>
  <w:style w:type="paragraph" w:customStyle="1" w:styleId="SAPMaterialNumber">
    <w:name w:val="SAP_MaterialNumber"/>
    <w:basedOn w:val="Normal"/>
    <w:locked/>
    <w:rsid w:val="007E169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E1694"/>
  </w:style>
  <w:style w:type="paragraph" w:customStyle="1" w:styleId="SAPFooterleft">
    <w:name w:val="SAP_Footer_left"/>
    <w:basedOn w:val="Footer"/>
    <w:locked/>
    <w:rsid w:val="007E169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bidi="ar-SA"/>
    </w:rPr>
  </w:style>
  <w:style w:type="character" w:customStyle="1" w:styleId="SAPFooterPageNumber">
    <w:name w:val="SAP_Footer_PageNumber"/>
    <w:basedOn w:val="DefaultParagraphFont"/>
    <w:uiPriority w:val="1"/>
    <w:qFormat/>
    <w:locked/>
    <w:rsid w:val="007E1694"/>
    <w:rPr>
      <w:rFonts w:ascii="BentonSans Bold" w:hAnsi="BentonSans Bold" w:cs="Times New Roman"/>
    </w:rPr>
  </w:style>
  <w:style w:type="character" w:customStyle="1" w:styleId="SAPFooterSecurityLevel">
    <w:name w:val="SAP_Footer_SecurityLevel"/>
    <w:basedOn w:val="DefaultParagraphFont"/>
    <w:uiPriority w:val="1"/>
    <w:locked/>
    <w:rsid w:val="007E1694"/>
    <w:rPr>
      <w:rFonts w:cs="Times New Roman"/>
      <w:caps/>
      <w:spacing w:val="6"/>
    </w:rPr>
  </w:style>
  <w:style w:type="paragraph" w:customStyle="1" w:styleId="SAPLastPageGray">
    <w:name w:val="SAP_LastPage_Gray"/>
    <w:basedOn w:val="Normal"/>
    <w:locked/>
    <w:rsid w:val="007E169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E1694"/>
    <w:pPr>
      <w:spacing w:before="0" w:after="0" w:line="180" w:lineRule="exact"/>
    </w:pPr>
    <w:rPr>
      <w:rFonts w:cs="Arial"/>
      <w:sz w:val="12"/>
      <w:szCs w:val="18"/>
      <w:lang w:val="de-DE"/>
    </w:rPr>
  </w:style>
  <w:style w:type="paragraph" w:customStyle="1" w:styleId="SAPFooterright">
    <w:name w:val="SAP_Footer_right"/>
    <w:basedOn w:val="SAPFooterleft"/>
    <w:locked/>
    <w:rsid w:val="007E1694"/>
    <w:pPr>
      <w:jc w:val="right"/>
    </w:pPr>
    <w:rPr>
      <w:noProof/>
    </w:rPr>
  </w:style>
  <w:style w:type="paragraph" w:customStyle="1" w:styleId="SAPFooterCurrentTopicRight">
    <w:name w:val="SAP_Footer_CurrentTopicRight"/>
    <w:basedOn w:val="SAPFooterright"/>
    <w:qFormat/>
    <w:locked/>
    <w:rsid w:val="007E1694"/>
    <w:rPr>
      <w:rFonts w:ascii="BentonSans Bold" w:hAnsi="BentonSans Bold"/>
    </w:rPr>
  </w:style>
  <w:style w:type="paragraph" w:customStyle="1" w:styleId="SAPFooterCurrentTopicLeft">
    <w:name w:val="SAP_Footer_CurrentTopicLeft"/>
    <w:basedOn w:val="SAPFooterleft"/>
    <w:qFormat/>
    <w:locked/>
    <w:rsid w:val="007E1694"/>
    <w:rPr>
      <w:rFonts w:ascii="BentonSans Bold" w:hAnsi="BentonSans Bold"/>
    </w:rPr>
  </w:style>
  <w:style w:type="paragraph" w:styleId="Header">
    <w:name w:val="header"/>
    <w:basedOn w:val="Normal"/>
    <w:link w:val="HeaderChar"/>
    <w:uiPriority w:val="99"/>
    <w:unhideWhenUsed/>
    <w:rsid w:val="007E169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7E1694"/>
    <w:rPr>
      <w:rFonts w:ascii="BentonSans Book" w:eastAsia="MS Mincho" w:hAnsi="BentonSans Book" w:cs="Times New Roman"/>
      <w:kern w:val="0"/>
      <w:sz w:val="18"/>
      <w:szCs w:val="24"/>
      <w:lang w:eastAsia="en-US" w:bidi="ar-SA"/>
    </w:rPr>
  </w:style>
  <w:style w:type="paragraph" w:customStyle="1" w:styleId="SAPHeader">
    <w:name w:val="SAP_Header"/>
    <w:basedOn w:val="Normal"/>
    <w:locked/>
    <w:rsid w:val="007E169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unique_2" TargetMode="External"/><Relationship Id="rId12" Type="http://schemas.openxmlformats.org/officeDocument/2006/relationships/hyperlink" Target="#unique_12"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2"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10"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help.sap.com/viewer/9f06df5970b84ee18b9aa33c8fb0e4bd/1.0.0.0/en-US" TargetMode="External"/><Relationship Id="rId14" Type="http://schemas.openxmlformats.org/officeDocument/2006/relationships/hyperlink" Target="#unique_2"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rapid.sap.com/b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589CA8C1B0439381815ED9A61ED6FB"/>
        <w:category>
          <w:name w:val="General"/>
          <w:gallery w:val="placeholder"/>
        </w:category>
        <w:types>
          <w:type w:val="bbPlcHdr"/>
        </w:types>
        <w:behaviors>
          <w:behavior w:val="content"/>
        </w:behaviors>
        <w:guid w:val="{3F8D6FF4-2FC9-43B1-BFB2-555BE6711F46}"/>
      </w:docPartPr>
      <w:docPartBody>
        <w:p w:rsidR="00000000" w:rsidRDefault="00526070" w:rsidP="00526070">
          <w:pPr>
            <w:pStyle w:val="10589CA8C1B0439381815ED9A61ED6FB"/>
          </w:pPr>
          <w:r>
            <w:t>Enter Scope Item Name</w:t>
          </w:r>
        </w:p>
      </w:docPartBody>
    </w:docPart>
    <w:docPart>
      <w:docPartPr>
        <w:name w:val="908A0A30C9624F83B9F88EFE3FFF7A7A"/>
        <w:category>
          <w:name w:val="General"/>
          <w:gallery w:val="placeholder"/>
        </w:category>
        <w:types>
          <w:type w:val="bbPlcHdr"/>
        </w:types>
        <w:behaviors>
          <w:behavior w:val="content"/>
        </w:behaviors>
        <w:guid w:val="{B8BEAD1D-7D6C-44F8-A48A-8C053E4C742F}"/>
      </w:docPartPr>
      <w:docPartBody>
        <w:p w:rsidR="00000000" w:rsidRDefault="00526070" w:rsidP="00526070">
          <w:pPr>
            <w:pStyle w:val="908A0A30C9624F83B9F88EFE3FFF7A7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default"/>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70"/>
    <w:rsid w:val="005260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842E7B4F644B7E9E580C9E7D962481">
    <w:name w:val="C8842E7B4F644B7E9E580C9E7D962481"/>
    <w:rsid w:val="00526070"/>
  </w:style>
  <w:style w:type="paragraph" w:customStyle="1" w:styleId="10589CA8C1B0439381815ED9A61ED6FB">
    <w:name w:val="10589CA8C1B0439381815ED9A61ED6FB"/>
    <w:rsid w:val="00526070"/>
  </w:style>
  <w:style w:type="paragraph" w:customStyle="1" w:styleId="908A0A30C9624F83B9F88EFE3FFF7A7A">
    <w:name w:val="908A0A30C9624F83B9F88EFE3FFF7A7A"/>
    <w:rsid w:val="00526070"/>
  </w:style>
  <w:style w:type="paragraph" w:customStyle="1" w:styleId="41D52E0C054647CEB28FDB3E87BDA05C">
    <w:name w:val="41D52E0C054647CEB28FDB3E87BDA05C"/>
    <w:rsid w:val="00526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FFE13B7-C730-4895-BA3D-913181D1F5BE}"/>
</file>

<file path=customXml/itemProps2.xml><?xml version="1.0" encoding="utf-8"?>
<ds:datastoreItem xmlns:ds="http://schemas.openxmlformats.org/officeDocument/2006/customXml" ds:itemID="{95D964FA-AD86-4068-9C52-EA3AFDAD24D9}"/>
</file>

<file path=customXml/itemProps3.xml><?xml version="1.0" encoding="utf-8"?>
<ds:datastoreItem xmlns:ds="http://schemas.openxmlformats.org/officeDocument/2006/customXml" ds:itemID="{03CF859F-090A-4EA2-B78D-0C5253218732}"/>
</file>

<file path=docProps/app.xml><?xml version="1.0" encoding="utf-8"?>
<Properties xmlns="http://schemas.openxmlformats.org/officeDocument/2006/extended-properties" xmlns:vt="http://schemas.openxmlformats.org/officeDocument/2006/docPropsVTypes">
  <Template>Normal.dotm</Template>
  <TotalTime>0</TotalTime>
  <Pages>19</Pages>
  <Words>3396</Words>
  <Characters>21402</Characters>
  <Application>Microsoft Office Word</Application>
  <DocSecurity>4</DocSecurity>
  <Lines>178</Lines>
  <Paragraphs>49</Paragraphs>
  <ScaleCrop>false</ScaleCrop>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2020-09-29T14:00:00Z</dcterms:created>
  <dcterms:modified xsi:type="dcterms:W3CDTF">2020-09-29T14:00:00Z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